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301413</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remaining RRM requirements for FeMIMO</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5.2.3.1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1"/>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one way forward on RRM impact for unified TCI state and inter-cell beam management in FeMIMO were approved in [1]. Within the WF, multiple agreements corresponding to different issues were approved.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1"/>
              <w:keepNext w:val="0"/>
              <w:keepLines w:val="0"/>
              <w:pageBreakBefore w:val="0"/>
              <w:tabs>
                <w:tab w:val="left" w:pos="226"/>
                <w:tab w:val="left" w:pos="284"/>
                <w:tab w:val="left" w:pos="5103"/>
              </w:tabs>
              <w:kinsoku/>
              <w:wordWrap/>
              <w:overflowPunct/>
              <w:topLinePunct w:val="0"/>
              <w:autoSpaceDE/>
              <w:autoSpaceDN/>
              <w:bidi w:val="0"/>
              <w:adjustRightInd/>
              <w:snapToGrid w:val="0"/>
              <w:spacing w:before="156" w:beforeLines="50" w:after="0" w:line="240" w:lineRule="auto"/>
              <w:textAlignment w:val="auto"/>
              <w:rPr>
                <w:rFonts w:hint="eastAsia"/>
                <w:highlight w:val="none"/>
                <w:lang w:val="en-US" w:eastAsia="zh-CN"/>
              </w:rPr>
            </w:pPr>
            <w:r>
              <w:rPr>
                <w:rFonts w:hint="eastAsia"/>
                <w:highlight w:val="none"/>
                <w:lang w:val="en-US" w:eastAsia="zh-CN"/>
              </w:rPr>
              <w:t>Joint TCI switching delay requirement for DL TCI state switch:</w:t>
            </w:r>
          </w:p>
          <w:p>
            <w:pPr>
              <w:pStyle w:val="29"/>
              <w:keepNext w:val="0"/>
              <w:keepLines w:val="0"/>
              <w:pageBreakBefore w:val="0"/>
              <w:numPr>
                <w:ilvl w:val="0"/>
                <w:numId w:val="4"/>
              </w:numPr>
              <w:kinsoku/>
              <w:wordWrap/>
              <w:overflowPunct/>
              <w:topLinePunct w:val="0"/>
              <w:autoSpaceDE/>
              <w:autoSpaceDN/>
              <w:bidi w:val="0"/>
              <w:adjustRightInd/>
              <w:spacing w:line="240" w:lineRule="auto"/>
              <w:ind w:left="740" w:firstLineChars="0"/>
              <w:textAlignment w:val="auto"/>
              <w:rPr>
                <w:rFonts w:eastAsiaTheme="minorEastAsia"/>
                <w:highlight w:val="green"/>
                <w:lang w:eastAsia="zh-CN"/>
              </w:rPr>
            </w:pPr>
            <w:r>
              <w:rPr>
                <w:rFonts w:eastAsiaTheme="minorEastAsia"/>
                <w:highlight w:val="green"/>
                <w:lang w:eastAsia="zh-CN"/>
              </w:rPr>
              <w:t>Agreement</w:t>
            </w:r>
          </w:p>
          <w:p>
            <w:pPr>
              <w:pStyle w:val="29"/>
              <w:keepNext w:val="0"/>
              <w:keepLines w:val="0"/>
              <w:pageBreakBefore w:val="0"/>
              <w:numPr>
                <w:ilvl w:val="1"/>
                <w:numId w:val="4"/>
              </w:numPr>
              <w:kinsoku/>
              <w:wordWrap/>
              <w:overflowPunct/>
              <w:topLinePunct w:val="0"/>
              <w:autoSpaceDE/>
              <w:autoSpaceDN/>
              <w:bidi w:val="0"/>
              <w:adjustRightInd/>
              <w:spacing w:line="240" w:lineRule="auto"/>
              <w:ind w:left="1656" w:firstLineChars="0"/>
              <w:textAlignment w:val="auto"/>
              <w:rPr>
                <w:rFonts w:hint="default"/>
                <w:highlight w:val="none"/>
                <w:lang w:val="en-US" w:eastAsia="zh-CN"/>
              </w:rPr>
            </w:pPr>
            <w:r>
              <w:rPr>
                <w:rFonts w:eastAsiaTheme="minorEastAsia"/>
                <w:lang w:val="sv-SE" w:eastAsia="zh-CN"/>
              </w:rPr>
              <w:t>In case of joint TCI state switch,</w:t>
            </w:r>
            <w:r>
              <w:rPr>
                <w:rFonts w:eastAsiaTheme="minorEastAsia"/>
                <w:highlight w:val="none"/>
                <w:lang w:val="sv-SE" w:eastAsia="zh-CN"/>
              </w:rPr>
              <w:t xml:space="preserve"> if the target PL-RS is not maintained</w:t>
            </w:r>
            <w:r>
              <w:rPr>
                <w:rFonts w:eastAsiaTheme="minorEastAsia"/>
                <w:lang w:val="sv-SE" w:eastAsia="zh-CN"/>
              </w:rPr>
              <w:t>, UE is not expected to receive on DL based on the target TCI state before UE completes the DL and UL TCI state switch</w:t>
            </w:r>
          </w:p>
          <w:p>
            <w:pPr>
              <w:pStyle w:val="29"/>
              <w:keepNext w:val="0"/>
              <w:keepLines w:val="0"/>
              <w:pageBreakBefore w:val="0"/>
              <w:numPr>
                <w:ilvl w:val="0"/>
                <w:numId w:val="0"/>
              </w:numPr>
              <w:kinsoku/>
              <w:wordWrap/>
              <w:overflowPunct/>
              <w:topLinePunct w:val="0"/>
              <w:autoSpaceDE/>
              <w:autoSpaceDN/>
              <w:bidi w:val="0"/>
              <w:adjustRightInd/>
              <w:spacing w:line="240" w:lineRule="auto"/>
              <w:textAlignment w:val="auto"/>
              <w:rPr>
                <w:rFonts w:hint="eastAsia" w:ascii="Times New Roman" w:hAnsi="Times New Roman" w:eastAsia="MS Mincho" w:cs="Times New Roman"/>
                <w:kern w:val="0"/>
                <w:sz w:val="20"/>
                <w:szCs w:val="24"/>
                <w:highlight w:val="none"/>
                <w:lang w:val="en-US" w:eastAsia="zh-CN" w:bidi="ar-SA"/>
              </w:rPr>
            </w:pPr>
            <w:r>
              <w:rPr>
                <w:rFonts w:hint="eastAsia" w:ascii="Times New Roman" w:hAnsi="Times New Roman" w:eastAsia="MS Mincho" w:cs="Times New Roman"/>
                <w:kern w:val="0"/>
                <w:sz w:val="20"/>
                <w:szCs w:val="24"/>
                <w:highlight w:val="none"/>
                <w:lang w:val="en-US" w:eastAsia="zh-CN" w:bidi="ar-SA"/>
              </w:rPr>
              <w:t>Whether to consider unknown TCI state in the TCI state list:</w:t>
            </w:r>
          </w:p>
          <w:p>
            <w:pPr>
              <w:pStyle w:val="29"/>
              <w:keepNext w:val="0"/>
              <w:keepLines w:val="0"/>
              <w:pageBreakBefore w:val="0"/>
              <w:numPr>
                <w:ilvl w:val="0"/>
                <w:numId w:val="4"/>
              </w:numPr>
              <w:kinsoku/>
              <w:wordWrap/>
              <w:overflowPunct/>
              <w:topLinePunct w:val="0"/>
              <w:autoSpaceDE/>
              <w:autoSpaceDN/>
              <w:bidi w:val="0"/>
              <w:adjustRightInd/>
              <w:spacing w:line="240" w:lineRule="auto"/>
              <w:ind w:left="720" w:firstLineChars="0"/>
              <w:textAlignment w:val="auto"/>
              <w:rPr>
                <w:rFonts w:eastAsiaTheme="minorEastAsia"/>
                <w:bCs/>
                <w:highlight w:val="green"/>
                <w:lang w:eastAsia="zh-CN"/>
              </w:rPr>
            </w:pPr>
            <w:r>
              <w:rPr>
                <w:rFonts w:eastAsiaTheme="minorEastAsia"/>
                <w:bCs/>
                <w:highlight w:val="green"/>
                <w:lang w:eastAsia="zh-CN"/>
              </w:rPr>
              <w:t>Agreement</w:t>
            </w:r>
          </w:p>
          <w:p>
            <w:pPr>
              <w:pStyle w:val="29"/>
              <w:keepNext w:val="0"/>
              <w:keepLines w:val="0"/>
              <w:pageBreakBefore w:val="0"/>
              <w:numPr>
                <w:ilvl w:val="1"/>
                <w:numId w:val="4"/>
              </w:numPr>
              <w:kinsoku/>
              <w:wordWrap/>
              <w:overflowPunct/>
              <w:topLinePunct w:val="0"/>
              <w:autoSpaceDE/>
              <w:autoSpaceDN/>
              <w:bidi w:val="0"/>
              <w:adjustRightInd/>
              <w:spacing w:line="240" w:lineRule="auto"/>
              <w:ind w:left="1656" w:firstLineChars="0"/>
              <w:textAlignment w:val="auto"/>
              <w:rPr>
                <w:lang w:val="en-US" w:eastAsia="zh-CN"/>
              </w:rPr>
            </w:pPr>
            <w:r>
              <w:rPr>
                <w:rFonts w:hint="eastAsia"/>
                <w:lang w:val="en-US" w:eastAsia="zh-CN"/>
              </w:rPr>
              <w:t>If a subset of target TCI states in the active TCI state list are unknown</w:t>
            </w:r>
          </w:p>
          <w:p>
            <w:pPr>
              <w:pStyle w:val="29"/>
              <w:keepNext w:val="0"/>
              <w:keepLines w:val="0"/>
              <w:pageBreakBefore w:val="0"/>
              <w:numPr>
                <w:ilvl w:val="2"/>
                <w:numId w:val="4"/>
              </w:numPr>
              <w:kinsoku/>
              <w:wordWrap/>
              <w:overflowPunct/>
              <w:topLinePunct w:val="0"/>
              <w:autoSpaceDE/>
              <w:autoSpaceDN/>
              <w:bidi w:val="0"/>
              <w:adjustRightInd/>
              <w:spacing w:line="240" w:lineRule="auto"/>
              <w:ind w:left="2376" w:firstLineChars="0"/>
              <w:textAlignment w:val="auto"/>
              <w:rPr>
                <w:lang w:val="en-US" w:eastAsia="zh-CN"/>
              </w:rPr>
            </w:pPr>
            <w:r>
              <w:rPr>
                <w:lang w:val="en-US" w:eastAsia="zh-CN"/>
              </w:rPr>
              <w:t xml:space="preserve">For DL TCI state list update: </w:t>
            </w:r>
            <w:r>
              <w:rPr>
                <w:rFonts w:eastAsia="Malgun Gothic"/>
                <w:lang w:val="en-US" w:eastAsia="zh-CN"/>
              </w:rPr>
              <w:t>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 (</w:t>
            </w:r>
            <w:r>
              <w:t>T</w:t>
            </w:r>
            <w:r>
              <w:rPr>
                <w:vertAlign w:val="subscript"/>
              </w:rPr>
              <w:t>L1-RSRP</w:t>
            </w:r>
            <w:r>
              <w:rPr>
                <w:vertAlign w:val="subscript"/>
                <w:lang w:eastAsia="zh-CN"/>
              </w:rPr>
              <w:t>_list</w:t>
            </w:r>
            <w:r>
              <w:rPr>
                <w:vertAlign w:val="subscript"/>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first-SSB_List</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NR slot length for DL</w:t>
            </w:r>
          </w:p>
          <w:p>
            <w:pPr>
              <w:pStyle w:val="29"/>
              <w:keepNext w:val="0"/>
              <w:keepLines w:val="0"/>
              <w:pageBreakBefore w:val="0"/>
              <w:numPr>
                <w:ilvl w:val="2"/>
                <w:numId w:val="4"/>
              </w:numPr>
              <w:kinsoku/>
              <w:wordWrap/>
              <w:overflowPunct/>
              <w:topLinePunct w:val="0"/>
              <w:autoSpaceDE/>
              <w:autoSpaceDN/>
              <w:bidi w:val="0"/>
              <w:adjustRightInd/>
              <w:spacing w:line="240" w:lineRule="auto"/>
              <w:ind w:left="2376" w:firstLineChars="0"/>
              <w:textAlignment w:val="auto"/>
              <w:rPr>
                <w:rFonts w:hint="default"/>
                <w:highlight w:val="none"/>
                <w:lang w:val="en-US" w:eastAsia="zh-CN"/>
              </w:rPr>
            </w:pPr>
            <w:r>
              <w:rPr>
                <w:lang w:val="en-US" w:eastAsia="zh-CN"/>
              </w:rPr>
              <w:t>For UL TCI state list update: after n+</w:t>
            </w:r>
            <w:r>
              <w:rPr>
                <w:bCs/>
                <w:iCs/>
                <w:szCs w:val="21"/>
              </w:rPr>
              <w:t>T</w:t>
            </w:r>
            <w:r>
              <w:rPr>
                <w:bCs/>
                <w:iCs/>
                <w:szCs w:val="21"/>
                <w:vertAlign w:val="subscript"/>
              </w:rPr>
              <w:t>HARQ</w:t>
            </w:r>
            <w:r>
              <w:rPr>
                <w:bCs/>
                <w:iCs/>
                <w:szCs w:val="21"/>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bCs/>
                <w:i/>
                <w:szCs w:val="21"/>
              </w:rPr>
              <w:t>+</w:t>
            </w:r>
            <w:r>
              <w:rPr>
                <w:bCs/>
                <w:iCs/>
                <w:szCs w:val="21"/>
              </w:rPr>
              <w:t xml:space="preserve"> (T</w:t>
            </w:r>
            <w:r>
              <w:rPr>
                <w:bCs/>
                <w:iCs/>
                <w:szCs w:val="21"/>
                <w:vertAlign w:val="subscript"/>
              </w:rPr>
              <w:t>L1-RSRP_List</w:t>
            </w:r>
            <w:r>
              <w:rPr>
                <w:bCs/>
                <w:i/>
                <w:szCs w:val="21"/>
                <w:vertAlign w:val="subscript"/>
              </w:rPr>
              <w:t xml:space="preserve"> </w:t>
            </w:r>
            <w:r>
              <w:rPr>
                <w:bCs/>
                <w:iCs/>
                <w:szCs w:val="21"/>
              </w:rPr>
              <w:t>+ T</w:t>
            </w:r>
            <w:r>
              <w:rPr>
                <w:bCs/>
                <w:iCs/>
                <w:szCs w:val="21"/>
                <w:vertAlign w:val="subscript"/>
              </w:rPr>
              <w:t xml:space="preserve">first_target-PL-RS_List </w:t>
            </w:r>
            <w:r>
              <w:rPr>
                <w:bCs/>
                <w:iCs/>
                <w:szCs w:val="21"/>
              </w:rPr>
              <w:t>+ 4*T</w:t>
            </w:r>
            <w:r>
              <w:rPr>
                <w:bCs/>
                <w:iCs/>
                <w:szCs w:val="21"/>
                <w:vertAlign w:val="subscript"/>
              </w:rPr>
              <w:t xml:space="preserve">target_PL-RS_List </w:t>
            </w:r>
            <w:r>
              <w:rPr>
                <w:bCs/>
                <w:iCs/>
                <w:szCs w:val="21"/>
              </w:rPr>
              <w:t xml:space="preserve">+ 2ms) </w:t>
            </w:r>
            <w:r>
              <w:rPr>
                <w:lang w:val="en-US" w:eastAsia="zh-CN"/>
              </w:rPr>
              <w:t xml:space="preserve">/ </w:t>
            </w:r>
            <w:r>
              <w:rPr>
                <w:i/>
                <w:lang w:val="en-US" w:eastAsia="zh-CN"/>
              </w:rPr>
              <w:t>NR slot length</w:t>
            </w:r>
          </w:p>
          <w:p>
            <w:pPr>
              <w:pStyle w:val="29"/>
              <w:keepNext w:val="0"/>
              <w:keepLines w:val="0"/>
              <w:pageBreakBefore w:val="0"/>
              <w:numPr>
                <w:ilvl w:val="1"/>
                <w:numId w:val="4"/>
              </w:numPr>
              <w:kinsoku/>
              <w:wordWrap/>
              <w:overflowPunct/>
              <w:topLinePunct w:val="0"/>
              <w:autoSpaceDE/>
              <w:autoSpaceDN/>
              <w:bidi w:val="0"/>
              <w:adjustRightInd/>
              <w:spacing w:line="240" w:lineRule="auto"/>
              <w:ind w:left="1656" w:firstLineChars="0"/>
              <w:textAlignment w:val="auto"/>
              <w:rPr>
                <w:rFonts w:hint="default"/>
                <w:highlight w:val="none"/>
                <w:lang w:val="en-US" w:eastAsia="zh-CN"/>
              </w:rPr>
            </w:pPr>
            <w:r>
              <w:rPr>
                <w:rFonts w:hint="eastAsia"/>
                <w:lang w:val="en-US" w:eastAsia="zh-CN"/>
              </w:rPr>
              <w:t>[If all target TCI states in the active TCI state list are unknown, no requirements are applicable].</w:t>
            </w:r>
          </w:p>
          <w:p>
            <w:pPr>
              <w:pStyle w:val="29"/>
              <w:keepNext w:val="0"/>
              <w:keepLines w:val="0"/>
              <w:pageBreakBefore w:val="0"/>
              <w:numPr>
                <w:ilvl w:val="0"/>
                <w:numId w:val="0"/>
              </w:numPr>
              <w:kinsoku/>
              <w:wordWrap/>
              <w:overflowPunct/>
              <w:topLinePunct w:val="0"/>
              <w:autoSpaceDE/>
              <w:autoSpaceDN/>
              <w:bidi w:val="0"/>
              <w:adjustRightInd/>
              <w:spacing w:line="240" w:lineRule="auto"/>
              <w:textAlignment w:val="auto"/>
              <w:rPr>
                <w:rFonts w:hint="eastAsia" w:ascii="Times New Roman" w:hAnsi="Times New Roman" w:eastAsia="MS Mincho" w:cs="Times New Roman"/>
                <w:kern w:val="0"/>
                <w:sz w:val="20"/>
                <w:szCs w:val="24"/>
                <w:highlight w:val="none"/>
                <w:lang w:val="en-US" w:eastAsia="zh-CN" w:bidi="ar-SA"/>
              </w:rPr>
            </w:pPr>
            <w:r>
              <w:rPr>
                <w:rFonts w:hint="eastAsia" w:ascii="Times New Roman" w:hAnsi="Times New Roman" w:eastAsia="MS Mincho" w:cs="Times New Roman"/>
                <w:kern w:val="0"/>
                <w:sz w:val="20"/>
                <w:szCs w:val="24"/>
                <w:highlight w:val="none"/>
                <w:lang w:val="en-US" w:eastAsia="zh-CN" w:bidi="ar-SA"/>
              </w:rPr>
              <w:t>Update Tfirst-SSB_List for DL TCI state list update delay:</w:t>
            </w:r>
          </w:p>
          <w:p>
            <w:pPr>
              <w:pStyle w:val="29"/>
              <w:keepNext w:val="0"/>
              <w:keepLines w:val="0"/>
              <w:pageBreakBefore w:val="0"/>
              <w:numPr>
                <w:ilvl w:val="0"/>
                <w:numId w:val="4"/>
              </w:numPr>
              <w:kinsoku/>
              <w:wordWrap/>
              <w:overflowPunct/>
              <w:topLinePunct w:val="0"/>
              <w:autoSpaceDE/>
              <w:autoSpaceDN/>
              <w:bidi w:val="0"/>
              <w:adjustRightInd/>
              <w:spacing w:line="240" w:lineRule="auto"/>
              <w:ind w:left="720" w:firstLineChars="0"/>
              <w:textAlignment w:val="auto"/>
              <w:rPr>
                <w:rFonts w:eastAsiaTheme="minorEastAsia"/>
                <w:bCs/>
                <w:highlight w:val="green"/>
                <w:lang w:eastAsia="zh-CN"/>
              </w:rPr>
            </w:pPr>
            <w:r>
              <w:rPr>
                <w:rFonts w:eastAsiaTheme="minorEastAsia"/>
                <w:bCs/>
                <w:highlight w:val="green"/>
                <w:lang w:eastAsia="zh-CN"/>
              </w:rPr>
              <w:t>Agreement</w:t>
            </w:r>
          </w:p>
          <w:p>
            <w:pPr>
              <w:pStyle w:val="29"/>
              <w:keepNext w:val="0"/>
              <w:keepLines w:val="0"/>
              <w:pageBreakBefore w:val="0"/>
              <w:numPr>
                <w:ilvl w:val="1"/>
                <w:numId w:val="4"/>
              </w:numPr>
              <w:kinsoku/>
              <w:wordWrap/>
              <w:overflowPunct/>
              <w:topLinePunct w:val="0"/>
              <w:autoSpaceDE/>
              <w:autoSpaceDN/>
              <w:bidi w:val="0"/>
              <w:adjustRightInd/>
              <w:spacing w:line="240" w:lineRule="auto"/>
              <w:ind w:left="1656" w:firstLineChars="0"/>
              <w:textAlignment w:val="auto"/>
              <w:rPr>
                <w:rFonts w:eastAsiaTheme="minorEastAsia"/>
                <w:lang w:val="sv-SE" w:eastAsia="zh-CN"/>
              </w:rPr>
            </w:pPr>
            <w:r>
              <w:rPr>
                <w:rFonts w:eastAsiaTheme="minorEastAsia"/>
                <w:lang w:val="sv-SE" w:eastAsia="zh-CN"/>
              </w:rPr>
              <w:t>Update the active DL TCI state list update delay requirements considering ‘Time to first SSB’ for serving cell and cell with different PCI after MAC CE activation.</w:t>
            </w:r>
          </w:p>
          <w:p>
            <w:pPr>
              <w:pStyle w:val="29"/>
              <w:keepNext w:val="0"/>
              <w:keepLines w:val="0"/>
              <w:pageBreakBefore w:val="0"/>
              <w:numPr>
                <w:ilvl w:val="0"/>
                <w:numId w:val="0"/>
              </w:numPr>
              <w:kinsoku/>
              <w:wordWrap/>
              <w:overflowPunct/>
              <w:topLinePunct w:val="0"/>
              <w:autoSpaceDE/>
              <w:autoSpaceDN/>
              <w:bidi w:val="0"/>
              <w:adjustRightInd/>
              <w:spacing w:line="240" w:lineRule="auto"/>
              <w:textAlignment w:val="auto"/>
              <w:rPr>
                <w:rFonts w:hint="eastAsia" w:ascii="Times New Roman" w:hAnsi="Times New Roman" w:eastAsia="MS Mincho" w:cs="Times New Roman"/>
                <w:kern w:val="0"/>
                <w:sz w:val="20"/>
                <w:szCs w:val="24"/>
                <w:highlight w:val="none"/>
                <w:lang w:val="en-US" w:eastAsia="zh-CN" w:bidi="ar-SA"/>
              </w:rPr>
            </w:pPr>
            <w:r>
              <w:rPr>
                <w:rFonts w:hint="eastAsia" w:ascii="Times New Roman" w:hAnsi="Times New Roman" w:eastAsia="MS Mincho" w:cs="Times New Roman"/>
                <w:kern w:val="0"/>
                <w:sz w:val="20"/>
                <w:szCs w:val="24"/>
                <w:highlight w:val="none"/>
                <w:lang w:val="en-US" w:eastAsia="zh-CN" w:bidi="ar-SA"/>
              </w:rPr>
              <w:t>Update Tfirst-target_PL-RS_List for UL TCI state list update delay:</w:t>
            </w:r>
          </w:p>
          <w:p>
            <w:pPr>
              <w:pStyle w:val="29"/>
              <w:keepNext w:val="0"/>
              <w:keepLines w:val="0"/>
              <w:pageBreakBefore w:val="0"/>
              <w:numPr>
                <w:ilvl w:val="0"/>
                <w:numId w:val="4"/>
              </w:numPr>
              <w:kinsoku/>
              <w:wordWrap/>
              <w:overflowPunct/>
              <w:topLinePunct w:val="0"/>
              <w:autoSpaceDE/>
              <w:autoSpaceDN/>
              <w:bidi w:val="0"/>
              <w:adjustRightInd/>
              <w:spacing w:line="240" w:lineRule="auto"/>
              <w:ind w:left="720" w:firstLineChars="0"/>
              <w:textAlignment w:val="auto"/>
              <w:rPr>
                <w:rFonts w:eastAsiaTheme="minorEastAsia"/>
                <w:bCs/>
                <w:highlight w:val="green"/>
                <w:lang w:eastAsia="zh-CN"/>
              </w:rPr>
            </w:pPr>
            <w:r>
              <w:rPr>
                <w:rFonts w:eastAsiaTheme="minorEastAsia"/>
                <w:bCs/>
                <w:highlight w:val="green"/>
                <w:lang w:eastAsia="zh-CN"/>
              </w:rPr>
              <w:t>Agreement</w:t>
            </w:r>
          </w:p>
          <w:p>
            <w:pPr>
              <w:pStyle w:val="29"/>
              <w:keepNext w:val="0"/>
              <w:keepLines w:val="0"/>
              <w:pageBreakBefore w:val="0"/>
              <w:numPr>
                <w:ilvl w:val="1"/>
                <w:numId w:val="4"/>
              </w:numPr>
              <w:kinsoku/>
              <w:wordWrap/>
              <w:overflowPunct/>
              <w:topLinePunct w:val="0"/>
              <w:autoSpaceDE/>
              <w:autoSpaceDN/>
              <w:bidi w:val="0"/>
              <w:adjustRightInd/>
              <w:spacing w:line="240" w:lineRule="auto"/>
              <w:ind w:left="1656" w:firstLineChars="0"/>
              <w:textAlignment w:val="auto"/>
              <w:rPr>
                <w:rFonts w:eastAsiaTheme="minorEastAsia"/>
                <w:lang w:val="sv-SE" w:eastAsia="zh-CN"/>
              </w:rPr>
            </w:pPr>
            <w:r>
              <w:rPr>
                <w:rFonts w:eastAsiaTheme="minorEastAsia"/>
                <w:lang w:val="sv-SE" w:eastAsia="zh-CN"/>
              </w:rPr>
              <w:t>Update the active UL TCI state list update delay requirements considering time to first PL-RS for both serving cell and cell with different PCI</w:t>
            </w:r>
          </w:p>
          <w:p>
            <w:pPr>
              <w:pStyle w:val="29"/>
              <w:keepNext w:val="0"/>
              <w:keepLines w:val="0"/>
              <w:pageBreakBefore w:val="0"/>
              <w:numPr>
                <w:ilvl w:val="0"/>
                <w:numId w:val="0"/>
              </w:numPr>
              <w:kinsoku/>
              <w:wordWrap/>
              <w:overflowPunct/>
              <w:topLinePunct w:val="0"/>
              <w:autoSpaceDE/>
              <w:autoSpaceDN/>
              <w:bidi w:val="0"/>
              <w:adjustRightInd/>
              <w:spacing w:line="240" w:lineRule="auto"/>
              <w:textAlignment w:val="auto"/>
              <w:rPr>
                <w:rFonts w:hint="eastAsia" w:ascii="Times New Roman" w:hAnsi="Times New Roman" w:eastAsia="MS Mincho" w:cs="Times New Roman"/>
                <w:kern w:val="0"/>
                <w:sz w:val="20"/>
                <w:szCs w:val="24"/>
                <w:highlight w:val="none"/>
                <w:lang w:val="en-US" w:eastAsia="zh-CN" w:bidi="ar-SA"/>
              </w:rPr>
            </w:pPr>
            <w:r>
              <w:rPr>
                <w:rFonts w:hint="eastAsia" w:ascii="Times New Roman" w:hAnsi="Times New Roman" w:eastAsia="MS Mincho" w:cs="Times New Roman"/>
                <w:kern w:val="0"/>
                <w:sz w:val="20"/>
                <w:szCs w:val="24"/>
                <w:highlight w:val="none"/>
                <w:lang w:val="en-US" w:eastAsia="zh-CN" w:bidi="ar-SA"/>
              </w:rPr>
              <w:t>Sharing factor design:</w:t>
            </w:r>
          </w:p>
          <w:p>
            <w:pPr>
              <w:keepNext w:val="0"/>
              <w:keepLines w:val="0"/>
              <w:pageBreakBefore w:val="0"/>
              <w:numPr>
                <w:ilvl w:val="0"/>
                <w:numId w:val="4"/>
              </w:numPr>
              <w:kinsoku/>
              <w:wordWrap/>
              <w:overflowPunct/>
              <w:topLinePunct w:val="0"/>
              <w:autoSpaceDE/>
              <w:autoSpaceDN/>
              <w:bidi w:val="0"/>
              <w:adjustRightInd/>
              <w:spacing w:line="240" w:lineRule="auto"/>
              <w:ind w:left="720"/>
              <w:textAlignment w:val="auto"/>
              <w:rPr>
                <w:rFonts w:eastAsia="DengXian"/>
                <w:bCs/>
                <w:highlight w:val="green"/>
                <w:lang w:eastAsia="zh-CN"/>
              </w:rPr>
            </w:pPr>
            <w:r>
              <w:rPr>
                <w:rFonts w:eastAsia="DengXian"/>
                <w:bCs/>
                <w:highlight w:val="green"/>
                <w:lang w:eastAsia="zh-CN"/>
              </w:rPr>
              <w:t>Agreement on GTW:</w:t>
            </w:r>
          </w:p>
          <w:p>
            <w:pPr>
              <w:keepNext w:val="0"/>
              <w:keepLines w:val="0"/>
              <w:pageBreakBefore w:val="0"/>
              <w:numPr>
                <w:ilvl w:val="1"/>
                <w:numId w:val="4"/>
              </w:numPr>
              <w:kinsoku/>
              <w:wordWrap/>
              <w:overflowPunct/>
              <w:topLinePunct w:val="0"/>
              <w:autoSpaceDE/>
              <w:autoSpaceDN/>
              <w:bidi w:val="0"/>
              <w:adjustRightInd/>
              <w:spacing w:line="240" w:lineRule="auto"/>
              <w:ind w:left="1656"/>
              <w:textAlignment w:val="auto"/>
              <w:rPr>
                <w:rFonts w:eastAsia="DengXian"/>
                <w:highlight w:val="green"/>
                <w:lang w:val="sv-SE" w:eastAsia="zh-CN"/>
              </w:rPr>
            </w:pPr>
            <w:r>
              <w:rPr>
                <w:rFonts w:eastAsia="DengXian"/>
                <w:highlight w:val="green"/>
                <w:lang w:val="sv-SE" w:eastAsia="zh-CN"/>
              </w:rPr>
              <w:t>Keep the existing sharing factor design in the specification and remove brackets.</w:t>
            </w:r>
          </w:p>
          <w:p>
            <w:pPr>
              <w:pStyle w:val="29"/>
              <w:keepNext w:val="0"/>
              <w:keepLines w:val="0"/>
              <w:pageBreakBefore w:val="0"/>
              <w:numPr>
                <w:ilvl w:val="0"/>
                <w:numId w:val="0"/>
              </w:numPr>
              <w:kinsoku/>
              <w:wordWrap/>
              <w:overflowPunct/>
              <w:topLinePunct w:val="0"/>
              <w:autoSpaceDE/>
              <w:autoSpaceDN/>
              <w:bidi w:val="0"/>
              <w:adjustRightInd/>
              <w:spacing w:line="240" w:lineRule="auto"/>
              <w:textAlignment w:val="auto"/>
              <w:rPr>
                <w:rFonts w:hint="eastAsia" w:ascii="Times New Roman" w:hAnsi="Times New Roman" w:eastAsia="MS Mincho" w:cs="Times New Roman"/>
                <w:kern w:val="0"/>
                <w:sz w:val="20"/>
                <w:szCs w:val="24"/>
                <w:highlight w:val="none"/>
                <w:lang w:val="en-US" w:eastAsia="zh-CN" w:bidi="ar-SA"/>
              </w:rPr>
            </w:pPr>
            <w:r>
              <w:rPr>
                <w:rFonts w:hint="eastAsia" w:ascii="Times New Roman" w:hAnsi="Times New Roman" w:eastAsia="MS Mincho" w:cs="Times New Roman"/>
                <w:kern w:val="0"/>
                <w:sz w:val="20"/>
                <w:szCs w:val="24"/>
                <w:highlight w:val="none"/>
                <w:lang w:val="en-US" w:eastAsia="en-GB" w:bidi="ar-SA"/>
              </w:rPr>
              <w:t>Scheduling restriction for dynamic TDD</w:t>
            </w:r>
            <w:r>
              <w:rPr>
                <w:rFonts w:hint="eastAsia" w:ascii="Times New Roman" w:hAnsi="Times New Roman" w:eastAsia="MS Mincho" w:cs="Times New Roman"/>
                <w:kern w:val="0"/>
                <w:sz w:val="20"/>
                <w:szCs w:val="24"/>
                <w:highlight w:val="none"/>
                <w:lang w:val="en-US" w:eastAsia="zh-CN" w:bidi="ar-SA"/>
              </w:rPr>
              <w:t>:</w:t>
            </w:r>
          </w:p>
          <w:p>
            <w:pPr>
              <w:pStyle w:val="29"/>
              <w:keepNext w:val="0"/>
              <w:keepLines w:val="0"/>
              <w:pageBreakBefore w:val="0"/>
              <w:numPr>
                <w:ilvl w:val="0"/>
                <w:numId w:val="4"/>
              </w:numPr>
              <w:kinsoku/>
              <w:wordWrap/>
              <w:overflowPunct/>
              <w:topLinePunct w:val="0"/>
              <w:autoSpaceDE/>
              <w:autoSpaceDN/>
              <w:bidi w:val="0"/>
              <w:adjustRightInd/>
              <w:spacing w:line="240" w:lineRule="auto"/>
              <w:ind w:left="720" w:firstLineChars="0"/>
              <w:textAlignment w:val="auto"/>
              <w:rPr>
                <w:rFonts w:eastAsiaTheme="minorEastAsia"/>
                <w:bCs/>
                <w:highlight w:val="green"/>
                <w:lang w:eastAsia="zh-CN"/>
              </w:rPr>
            </w:pPr>
            <w:r>
              <w:rPr>
                <w:rFonts w:eastAsiaTheme="minorEastAsia"/>
                <w:bCs/>
                <w:highlight w:val="green"/>
                <w:lang w:eastAsia="zh-CN"/>
              </w:rPr>
              <w:t>Agreement</w:t>
            </w:r>
          </w:p>
          <w:p>
            <w:pPr>
              <w:keepNext w:val="0"/>
              <w:keepLines w:val="0"/>
              <w:pageBreakBefore w:val="0"/>
              <w:numPr>
                <w:ilvl w:val="0"/>
                <w:numId w:val="4"/>
              </w:numPr>
              <w:kinsoku/>
              <w:wordWrap/>
              <w:overflowPunct/>
              <w:topLinePunct w:val="0"/>
              <w:autoSpaceDE/>
              <w:autoSpaceDN/>
              <w:bidi w:val="0"/>
              <w:adjustRightInd/>
              <w:spacing w:line="240" w:lineRule="auto"/>
              <w:ind w:left="936" w:leftChars="0" w:hanging="360" w:firstLineChars="0"/>
              <w:textAlignment w:val="auto"/>
              <w:rPr>
                <w:lang w:eastAsia="zh-CN"/>
              </w:rPr>
            </w:pPr>
            <w:r>
              <w:rPr>
                <w:lang w:eastAsia="zh-CN"/>
              </w:rPr>
              <w:t>The UE is not expected to transmit PUCCH/PUSCH/SRS on symbols corresponding to the SSB indexes configured for L1-RSRP measurement, where the transmission of PUCCH/PUSCH/SRS may be on serving cell(s) and cell(s) with PCI different from serving cell(s), and restricted symbols may partially or fully overlap with UL symbols</w:t>
            </w:r>
          </w:p>
          <w:p>
            <w:pPr>
              <w:pStyle w:val="29"/>
              <w:keepNext w:val="0"/>
              <w:keepLines w:val="0"/>
              <w:pageBreakBefore w:val="0"/>
              <w:numPr>
                <w:ilvl w:val="0"/>
                <w:numId w:val="0"/>
              </w:numPr>
              <w:kinsoku/>
              <w:wordWrap/>
              <w:overflowPunct/>
              <w:topLinePunct w:val="0"/>
              <w:autoSpaceDE/>
              <w:autoSpaceDN/>
              <w:bidi w:val="0"/>
              <w:adjustRightInd/>
              <w:spacing w:line="240" w:lineRule="auto"/>
              <w:textAlignment w:val="auto"/>
              <w:rPr>
                <w:rFonts w:hint="eastAsia" w:ascii="Times New Roman" w:hAnsi="Times New Roman" w:eastAsia="MS Mincho" w:cs="Times New Roman"/>
                <w:kern w:val="0"/>
                <w:sz w:val="20"/>
                <w:szCs w:val="24"/>
                <w:highlight w:val="none"/>
                <w:lang w:val="en-US" w:eastAsia="zh-CN" w:bidi="ar-SA"/>
              </w:rPr>
            </w:pPr>
            <w:r>
              <w:rPr>
                <w:rFonts w:hint="eastAsia" w:ascii="Times New Roman" w:hAnsi="Times New Roman" w:eastAsia="MS Mincho" w:cs="Times New Roman"/>
                <w:kern w:val="0"/>
                <w:sz w:val="20"/>
                <w:szCs w:val="24"/>
                <w:highlight w:val="none"/>
                <w:lang w:val="en-US" w:eastAsia="zh-CN" w:bidi="ar-SA"/>
              </w:rPr>
              <w:t>Applicability of ICBM feature:</w:t>
            </w:r>
          </w:p>
          <w:p>
            <w:pPr>
              <w:pStyle w:val="29"/>
              <w:keepNext w:val="0"/>
              <w:keepLines w:val="0"/>
              <w:pageBreakBefore w:val="0"/>
              <w:numPr>
                <w:ilvl w:val="0"/>
                <w:numId w:val="4"/>
              </w:numPr>
              <w:kinsoku/>
              <w:wordWrap/>
              <w:overflowPunct/>
              <w:topLinePunct w:val="0"/>
              <w:autoSpaceDE/>
              <w:autoSpaceDN/>
              <w:bidi w:val="0"/>
              <w:adjustRightInd/>
              <w:spacing w:line="240" w:lineRule="auto"/>
              <w:ind w:left="720" w:firstLineChars="0"/>
              <w:textAlignment w:val="auto"/>
              <w:rPr>
                <w:rFonts w:hint="eastAsia"/>
                <w:highlight w:val="none"/>
                <w:lang w:val="en-US" w:eastAsia="zh-CN"/>
              </w:rPr>
            </w:pPr>
            <w:r>
              <w:rPr>
                <w:rFonts w:eastAsiaTheme="minorEastAsia"/>
                <w:bCs/>
                <w:highlight w:val="green"/>
                <w:lang w:eastAsia="zh-CN"/>
              </w:rPr>
              <w:t>Agreement</w:t>
            </w:r>
          </w:p>
          <w:p>
            <w:pPr>
              <w:keepNext w:val="0"/>
              <w:keepLines w:val="0"/>
              <w:pageBreakBefore w:val="0"/>
              <w:numPr>
                <w:ilvl w:val="0"/>
                <w:numId w:val="4"/>
              </w:numPr>
              <w:kinsoku/>
              <w:wordWrap/>
              <w:overflowPunct/>
              <w:topLinePunct w:val="0"/>
              <w:autoSpaceDE/>
              <w:autoSpaceDN/>
              <w:bidi w:val="0"/>
              <w:adjustRightInd/>
              <w:spacing w:line="240" w:lineRule="auto"/>
              <w:ind w:left="936" w:leftChars="0" w:hanging="360" w:firstLineChars="0"/>
              <w:textAlignment w:val="auto"/>
              <w:rPr>
                <w:lang w:eastAsia="en-GB"/>
              </w:rPr>
            </w:pPr>
            <w:r>
              <w:rPr>
                <w:lang w:eastAsia="en-GB"/>
              </w:rPr>
              <w:t xml:space="preserve">Add </w:t>
            </w:r>
            <w:r>
              <w:rPr>
                <w:rFonts w:hint="eastAsia"/>
              </w:rPr>
              <w:t xml:space="preserve">applicability </w:t>
            </w:r>
            <w:r>
              <w:t>for Rel-17 ICBM:</w:t>
            </w:r>
          </w:p>
          <w:p>
            <w:pPr>
              <w:pStyle w:val="29"/>
              <w:keepNext w:val="0"/>
              <w:keepLines w:val="0"/>
              <w:pageBreakBefore w:val="0"/>
              <w:numPr>
                <w:ilvl w:val="1"/>
                <w:numId w:val="4"/>
              </w:numPr>
              <w:kinsoku/>
              <w:wordWrap/>
              <w:overflowPunct/>
              <w:topLinePunct w:val="0"/>
              <w:autoSpaceDE/>
              <w:autoSpaceDN/>
              <w:bidi w:val="0"/>
              <w:adjustRightInd/>
              <w:spacing w:line="240" w:lineRule="auto"/>
              <w:ind w:left="1656" w:leftChars="0" w:hanging="360" w:firstLineChars="0"/>
              <w:textAlignment w:val="auto"/>
              <w:rPr>
                <w:lang w:eastAsia="zh-CN"/>
              </w:rPr>
            </w:pPr>
            <w:r>
              <w:rPr>
                <w:lang w:eastAsia="zh-CN"/>
              </w:rPr>
              <w:t xml:space="preserve">highSpeedMeasFlag-r16 is not configured, and </w:t>
            </w:r>
          </w:p>
          <w:p>
            <w:pPr>
              <w:pStyle w:val="29"/>
              <w:keepNext w:val="0"/>
              <w:keepLines w:val="0"/>
              <w:pageBreakBefore w:val="0"/>
              <w:numPr>
                <w:ilvl w:val="1"/>
                <w:numId w:val="4"/>
              </w:numPr>
              <w:kinsoku/>
              <w:wordWrap/>
              <w:overflowPunct/>
              <w:topLinePunct w:val="0"/>
              <w:autoSpaceDE/>
              <w:autoSpaceDN/>
              <w:bidi w:val="0"/>
              <w:adjustRightInd/>
              <w:spacing w:line="240" w:lineRule="auto"/>
              <w:ind w:left="1656" w:leftChars="0" w:hanging="360" w:firstLineChars="0"/>
              <w:textAlignment w:val="auto"/>
              <w:rPr>
                <w:lang w:eastAsia="zh-CN"/>
              </w:rPr>
            </w:pPr>
            <w:r>
              <w:rPr>
                <w:lang w:eastAsia="zh-CN"/>
              </w:rPr>
              <w:t xml:space="preserve">highSpeedMeasFlagFR2-r17 is not configured, and </w:t>
            </w:r>
          </w:p>
          <w:p>
            <w:pPr>
              <w:pStyle w:val="29"/>
              <w:keepNext w:val="0"/>
              <w:keepLines w:val="0"/>
              <w:pageBreakBefore w:val="0"/>
              <w:numPr>
                <w:ilvl w:val="1"/>
                <w:numId w:val="4"/>
              </w:numPr>
              <w:kinsoku/>
              <w:wordWrap/>
              <w:overflowPunct/>
              <w:topLinePunct w:val="0"/>
              <w:autoSpaceDE/>
              <w:autoSpaceDN/>
              <w:bidi w:val="0"/>
              <w:adjustRightInd/>
              <w:spacing w:line="240" w:lineRule="auto"/>
              <w:ind w:left="1656" w:leftChars="0" w:hanging="360" w:firstLineChars="0"/>
              <w:textAlignment w:val="auto"/>
              <w:rPr>
                <w:lang w:eastAsia="zh-CN"/>
              </w:rPr>
            </w:pPr>
            <w:r>
              <w:rPr>
                <w:lang w:eastAsia="zh-CN"/>
              </w:rPr>
              <w:t>highSpeedMeasCA-Scell-r17 is not configured, and</w:t>
            </w:r>
          </w:p>
          <w:p>
            <w:pPr>
              <w:pStyle w:val="29"/>
              <w:keepNext w:val="0"/>
              <w:keepLines w:val="0"/>
              <w:pageBreakBefore w:val="0"/>
              <w:numPr>
                <w:ilvl w:val="1"/>
                <w:numId w:val="4"/>
              </w:numPr>
              <w:kinsoku/>
              <w:wordWrap/>
              <w:overflowPunct/>
              <w:topLinePunct w:val="0"/>
              <w:autoSpaceDE/>
              <w:autoSpaceDN/>
              <w:bidi w:val="0"/>
              <w:adjustRightInd/>
              <w:spacing w:line="240" w:lineRule="auto"/>
              <w:ind w:left="1656" w:leftChars="0" w:hanging="360" w:firstLineChars="0"/>
              <w:textAlignment w:val="auto"/>
              <w:rPr>
                <w:lang w:eastAsia="zh-CN"/>
              </w:rPr>
            </w:pPr>
            <w:r>
              <w:rPr>
                <w:lang w:eastAsia="zh-CN"/>
              </w:rPr>
              <w:t>[concurrent gaps are not configured].</w:t>
            </w:r>
          </w:p>
          <w:p>
            <w:pPr>
              <w:pStyle w:val="29"/>
              <w:keepNext w:val="0"/>
              <w:keepLines w:val="0"/>
              <w:pageBreakBefore w:val="0"/>
              <w:numPr>
                <w:ilvl w:val="0"/>
                <w:numId w:val="0"/>
              </w:numPr>
              <w:kinsoku/>
              <w:wordWrap/>
              <w:overflowPunct/>
              <w:topLinePunct w:val="0"/>
              <w:autoSpaceDE/>
              <w:autoSpaceDN/>
              <w:bidi w:val="0"/>
              <w:adjustRightInd/>
              <w:spacing w:line="240" w:lineRule="auto"/>
              <w:textAlignment w:val="auto"/>
              <w:rPr>
                <w:rFonts w:hint="eastAsia" w:ascii="Times New Roman" w:hAnsi="Times New Roman" w:eastAsia="MS Mincho" w:cs="Times New Roman"/>
                <w:kern w:val="0"/>
                <w:sz w:val="20"/>
                <w:szCs w:val="24"/>
                <w:highlight w:val="none"/>
                <w:lang w:val="en-US" w:eastAsia="zh-CN" w:bidi="ar-SA"/>
              </w:rPr>
            </w:pPr>
            <w:r>
              <w:rPr>
                <w:rFonts w:hint="eastAsia" w:ascii="Times New Roman" w:hAnsi="Times New Roman" w:eastAsia="MS Mincho" w:cs="Times New Roman"/>
                <w:kern w:val="0"/>
                <w:sz w:val="20"/>
                <w:szCs w:val="24"/>
                <w:highlight w:val="none"/>
                <w:lang w:val="en-US" w:eastAsia="zh-CN" w:bidi="ar-SA"/>
              </w:rPr>
              <w:t>Definition of known cell for ICBM:</w:t>
            </w:r>
          </w:p>
          <w:p>
            <w:pPr>
              <w:pStyle w:val="29"/>
              <w:keepNext w:val="0"/>
              <w:keepLines w:val="0"/>
              <w:pageBreakBefore w:val="0"/>
              <w:numPr>
                <w:ilvl w:val="0"/>
                <w:numId w:val="4"/>
              </w:numPr>
              <w:kinsoku/>
              <w:wordWrap/>
              <w:overflowPunct/>
              <w:topLinePunct w:val="0"/>
              <w:autoSpaceDE/>
              <w:autoSpaceDN/>
              <w:bidi w:val="0"/>
              <w:adjustRightInd/>
              <w:spacing w:line="240" w:lineRule="auto"/>
              <w:ind w:left="720" w:firstLineChars="0"/>
              <w:textAlignment w:val="auto"/>
              <w:rPr>
                <w:rFonts w:eastAsiaTheme="minorEastAsia"/>
                <w:bCs/>
                <w:highlight w:val="green"/>
                <w:lang w:eastAsia="zh-CN"/>
              </w:rPr>
            </w:pPr>
            <w:r>
              <w:rPr>
                <w:rFonts w:eastAsiaTheme="minorEastAsia"/>
                <w:bCs/>
                <w:highlight w:val="green"/>
                <w:lang w:eastAsia="zh-CN"/>
              </w:rPr>
              <w:t>Agreement</w:t>
            </w:r>
          </w:p>
          <w:p>
            <w:pPr>
              <w:keepNext w:val="0"/>
              <w:keepLines w:val="0"/>
              <w:pageBreakBefore w:val="0"/>
              <w:numPr>
                <w:ilvl w:val="1"/>
                <w:numId w:val="4"/>
              </w:numPr>
              <w:kinsoku/>
              <w:wordWrap/>
              <w:overflowPunct/>
              <w:topLinePunct w:val="0"/>
              <w:autoSpaceDE/>
              <w:autoSpaceDN/>
              <w:bidi w:val="0"/>
              <w:adjustRightInd/>
              <w:spacing w:before="120" w:line="240" w:lineRule="auto"/>
              <w:ind w:left="1656"/>
              <w:textAlignment w:val="auto"/>
              <w:rPr>
                <w:rFonts w:hint="default"/>
                <w:highlight w:val="none"/>
                <w:lang w:val="en-US" w:eastAsia="zh-CN"/>
              </w:rPr>
            </w:pPr>
            <w:r>
              <w:rPr>
                <w:rFonts w:eastAsia="DengXian"/>
                <w:lang w:val="sv-SE" w:eastAsia="zh-CN"/>
              </w:rPr>
              <w:t>Separate out pre-conditions from RAN1 for ICBM from known cell definition.</w:t>
            </w:r>
          </w:p>
        </w:tc>
      </w:tr>
    </w:tbl>
    <w:p>
      <w:pPr>
        <w:pStyle w:val="11"/>
        <w:tabs>
          <w:tab w:val="left" w:pos="226"/>
          <w:tab w:val="left" w:pos="284"/>
          <w:tab w:val="left" w:pos="5103"/>
        </w:tabs>
        <w:snapToGrid w:val="0"/>
        <w:spacing w:before="156" w:beforeLines="50"/>
        <w:rPr>
          <w:rFonts w:hint="eastAsia" w:eastAsia="宋体"/>
          <w:color w:val="auto"/>
          <w:sz w:val="21"/>
          <w:szCs w:val="21"/>
          <w:lang w:val="en-US" w:eastAsia="zh-CN"/>
        </w:rPr>
      </w:pPr>
    </w:p>
    <w:p>
      <w:pPr>
        <w:pStyle w:val="11"/>
        <w:tabs>
          <w:tab w:val="left" w:pos="226"/>
          <w:tab w:val="left" w:pos="284"/>
          <w:tab w:val="left" w:pos="5103"/>
        </w:tabs>
        <w:snapToGrid w:val="0"/>
        <w:spacing w:before="156" w:beforeLines="50"/>
        <w:rPr>
          <w:rFonts w:hint="eastAsia"/>
          <w:sz w:val="21"/>
          <w:szCs w:val="21"/>
          <w:lang w:val="en-US" w:eastAsia="zh-CN"/>
        </w:rPr>
      </w:pPr>
      <w:r>
        <w:rPr>
          <w:rFonts w:hint="eastAsia" w:eastAsia="宋体"/>
          <w:color w:val="auto"/>
          <w:sz w:val="21"/>
          <w:szCs w:val="21"/>
          <w:lang w:val="en-US" w:eastAsia="zh-CN"/>
        </w:rPr>
        <w:t xml:space="preserve">However still some issues are suspending. </w:t>
      </w:r>
      <w:r>
        <w:rPr>
          <w:rFonts w:hint="eastAsia"/>
          <w:sz w:val="21"/>
          <w:szCs w:val="21"/>
          <w:lang w:val="en-US" w:eastAsia="zh-CN"/>
        </w:rPr>
        <w:t>Further discussion are needed. In this document, we give our analysis on the following issues.</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Unified TCI state</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Whether UE need to track UL time/frequency for UL TCI state activation</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MAC-CE based UL T</w:t>
      </w:r>
      <w:bookmarkStart w:id="2" w:name="_GoBack"/>
      <w:bookmarkEnd w:id="2"/>
      <w:r>
        <w:rPr>
          <w:rFonts w:hint="default" w:ascii="Times New Roman" w:hAnsi="Times New Roman" w:cs="Times New Roman"/>
          <w:strike w:val="0"/>
          <w:dstrike w:val="0"/>
          <w:color w:val="auto"/>
          <w:sz w:val="20"/>
          <w:szCs w:val="20"/>
          <w:lang w:val="en-US" w:eastAsia="zh-CN" w:bidi="ar-SA"/>
        </w:rPr>
        <w:t>CI state switching delay when SSB is indicated as PL-RS in UL TCI state for FR2</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strike w:val="0"/>
          <w:dstrike w:val="0"/>
          <w:color w:val="auto"/>
          <w:sz w:val="20"/>
          <w:szCs w:val="20"/>
          <w:lang w:val="en-US" w:eastAsia="zh-CN" w:bidi="ar-SA"/>
        </w:rPr>
      </w:pPr>
      <w:bookmarkStart w:id="0" w:name="OLE_LINK2"/>
      <w:bookmarkStart w:id="1" w:name="OLE_LINK1"/>
      <w:r>
        <w:rPr>
          <w:rFonts w:hint="default" w:ascii="Times New Roman" w:hAnsi="Times New Roman" w:cs="Times New Roman"/>
          <w:strike w:val="0"/>
          <w:dstrike w:val="0"/>
          <w:color w:val="auto"/>
          <w:sz w:val="20"/>
          <w:szCs w:val="20"/>
          <w:lang w:val="en-US" w:eastAsia="zh-CN" w:bidi="ar-SA"/>
        </w:rPr>
        <w:t>Inter-cell beam measurement</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eastAsia" w:ascii="Times New Roman" w:hAnsi="Times New Roman" w:cs="Times New Roman"/>
          <w:strike w:val="0"/>
          <w:dstrike w:val="0"/>
          <w:color w:val="auto"/>
          <w:sz w:val="20"/>
          <w:szCs w:val="20"/>
          <w:lang w:val="en-US" w:eastAsia="zh-CN" w:bidi="ar-SA"/>
        </w:rPr>
        <w:t>Measurement restriction</w:t>
      </w:r>
    </w:p>
    <w:p>
      <w:pPr>
        <w:pStyle w:val="16"/>
        <w:keepNext w:val="0"/>
        <w:keepLines w:val="0"/>
        <w:pageBreakBefore w:val="0"/>
        <w:numPr>
          <w:ilvl w:val="0"/>
          <w:numId w:val="7"/>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highlight w:val="none"/>
          <w:lang w:val="en-US" w:eastAsia="zh-CN" w:bidi="ar-SA"/>
        </w:rPr>
      </w:pPr>
      <w:r>
        <w:rPr>
          <w:rFonts w:hint="eastAsia" w:ascii="Times New Roman" w:hAnsi="Times New Roman" w:cs="Times New Roman"/>
          <w:strike w:val="0"/>
          <w:dstrike w:val="0"/>
          <w:color w:val="auto"/>
          <w:sz w:val="20"/>
          <w:szCs w:val="20"/>
          <w:highlight w:val="none"/>
          <w:lang w:val="en-US" w:eastAsia="zh-CN" w:bidi="ar-SA"/>
        </w:rPr>
        <w:t>Whether need clarification or update in RAN4 spec when SSB And PDCCH/PDSCH Are overlapped on the same RE</w:t>
      </w:r>
    </w:p>
    <w:bookmarkEnd w:id="0"/>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3"/>
        <w:bidi w:val="0"/>
        <w:rPr>
          <w:rFonts w:hint="default"/>
          <w:color w:val="auto"/>
          <w:sz w:val="28"/>
          <w:szCs w:val="28"/>
          <w:highlight w:val="none"/>
          <w:lang w:val="en-US" w:eastAsia="zh-CN"/>
        </w:rPr>
      </w:pPr>
      <w:r>
        <w:rPr>
          <w:rFonts w:hint="eastAsia"/>
          <w:color w:val="auto"/>
          <w:sz w:val="28"/>
          <w:szCs w:val="28"/>
          <w:highlight w:val="none"/>
          <w:lang w:val="en-US" w:eastAsia="zh-CN"/>
        </w:rPr>
        <w:t>2.1 Unified TCI state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eastAsia"/>
          <w:b/>
          <w:bCs/>
          <w:i w:val="0"/>
          <w:iCs w:val="0"/>
          <w:sz w:val="21"/>
          <w:szCs w:val="21"/>
          <w:u w:val="single"/>
          <w:lang w:val="en-US" w:eastAsia="zh-CN"/>
        </w:rPr>
        <w:t>W</w:t>
      </w:r>
      <w:r>
        <w:rPr>
          <w:rFonts w:hint="default"/>
          <w:b/>
          <w:bCs/>
          <w:i w:val="0"/>
          <w:iCs w:val="0"/>
          <w:sz w:val="21"/>
          <w:szCs w:val="21"/>
          <w:u w:val="single"/>
          <w:lang w:val="en-US" w:eastAsia="zh-CN"/>
        </w:rPr>
        <w:t>hether UE need to track UL time/frequency for UL TCI state activation</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Around this issue, to move forward step by step, in 104bis meeting, the discussion was split into two cases, i.e. the case of source RS in UL TCI state is in the DL active TCI list and the case of source RS in UL TCI state is not in the DL active TCI list respectively.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For the former case, not any controversy, the following agreement was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0"/>
              </w:numPr>
              <w:overflowPunct/>
              <w:autoSpaceDE/>
              <w:autoSpaceDN/>
              <w:adjustRightInd/>
              <w:spacing w:after="120" w:line="259" w:lineRule="auto"/>
              <w:textAlignment w:val="auto"/>
              <w:rPr>
                <w:rFonts w:eastAsiaTheme="minorEastAsia"/>
                <w:lang w:eastAsia="zh-CN"/>
              </w:rPr>
            </w:pPr>
            <w:r>
              <w:rPr>
                <w:rFonts w:eastAsiaTheme="minorEastAsia"/>
                <w:b/>
                <w:u w:val="single"/>
                <w:lang w:eastAsia="zh-CN"/>
              </w:rPr>
              <w:t>If source RS in UL TCI state is in the DL active TCI list:</w:t>
            </w:r>
          </w:p>
          <w:p>
            <w:pPr>
              <w:pStyle w:val="29"/>
              <w:numPr>
                <w:ilvl w:val="0"/>
                <w:numId w:val="4"/>
              </w:numPr>
              <w:overflowPunct/>
              <w:autoSpaceDE/>
              <w:autoSpaceDN/>
              <w:adjustRightInd/>
              <w:spacing w:after="120" w:line="259" w:lineRule="auto"/>
              <w:ind w:left="740" w:firstLineChars="0"/>
              <w:textAlignment w:val="auto"/>
              <w:rPr>
                <w:rFonts w:eastAsiaTheme="minorEastAsia"/>
                <w:lang w:eastAsia="zh-CN"/>
              </w:rPr>
            </w:pPr>
            <w:r>
              <w:rPr>
                <w:rFonts w:eastAsiaTheme="minorEastAsia"/>
                <w:highlight w:val="green"/>
                <w:lang w:eastAsia="zh-CN"/>
              </w:rPr>
              <w:t>Agreements</w:t>
            </w:r>
            <w:r>
              <w:rPr>
                <w:rFonts w:eastAsiaTheme="minorEastAsia"/>
                <w:lang w:eastAsia="zh-CN"/>
              </w:rPr>
              <w:t>:</w:t>
            </w:r>
          </w:p>
          <w:p>
            <w:pPr>
              <w:pStyle w:val="29"/>
              <w:numPr>
                <w:ilvl w:val="1"/>
                <w:numId w:val="4"/>
              </w:numPr>
              <w:overflowPunct/>
              <w:autoSpaceDE/>
              <w:autoSpaceDN/>
              <w:adjustRightInd/>
              <w:spacing w:after="120" w:line="259" w:lineRule="auto"/>
              <w:ind w:left="1656" w:firstLineChars="0"/>
              <w:textAlignment w:val="auto"/>
              <w:rPr>
                <w:rFonts w:hint="default" w:ascii="Times New Roman" w:hAnsi="Times New Roman" w:eastAsia="MS Mincho" w:cs="Times New Roman"/>
                <w:sz w:val="20"/>
                <w:szCs w:val="24"/>
                <w:vertAlign w:val="baseline"/>
                <w:lang w:val="en-US" w:eastAsia="zh-CN" w:bidi="ar-SA"/>
              </w:rPr>
            </w:pPr>
            <w:r>
              <w:rPr>
                <w:rFonts w:eastAsiaTheme="minorEastAsia"/>
                <w:lang w:val="sv-SE" w:eastAsia="zh-CN"/>
              </w:rPr>
              <w:t xml:space="preserve">No additional time/frequency tracking for the source RS in UL TCI state is needed during TCI state switch </w:t>
            </w:r>
          </w:p>
        </w:tc>
      </w:tr>
    </w:tbl>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While for the latter case, the following options were kept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0"/>
              </w:numPr>
              <w:overflowPunct/>
              <w:autoSpaceDE/>
              <w:autoSpaceDN/>
              <w:adjustRightInd/>
              <w:spacing w:after="120" w:line="259" w:lineRule="auto"/>
              <w:textAlignment w:val="auto"/>
              <w:rPr>
                <w:rFonts w:eastAsiaTheme="minorEastAsia"/>
                <w:lang w:val="sv-SE" w:eastAsia="zh-CN"/>
              </w:rPr>
            </w:pPr>
            <w:r>
              <w:rPr>
                <w:rFonts w:eastAsiaTheme="minorEastAsia"/>
                <w:b/>
                <w:u w:val="single"/>
                <w:lang w:eastAsia="zh-CN"/>
              </w:rPr>
              <w:t>If source RS in UL TCI state is not in the DL active TCI list:</w:t>
            </w:r>
          </w:p>
          <w:p>
            <w:pPr>
              <w:pStyle w:val="29"/>
              <w:numPr>
                <w:ilvl w:val="0"/>
                <w:numId w:val="4"/>
              </w:numPr>
              <w:overflowPunct/>
              <w:autoSpaceDE/>
              <w:autoSpaceDN/>
              <w:adjustRightInd/>
              <w:spacing w:after="120" w:line="259" w:lineRule="auto"/>
              <w:ind w:left="936" w:leftChars="0" w:hanging="360" w:firstLineChars="0"/>
              <w:textAlignment w:val="auto"/>
              <w:rPr>
                <w:rFonts w:eastAsiaTheme="minorEastAsia"/>
                <w:lang w:val="sv-SE" w:eastAsia="zh-CN"/>
              </w:rPr>
            </w:pPr>
            <w:r>
              <w:rPr>
                <w:rFonts w:eastAsiaTheme="minorEastAsia"/>
                <w:lang w:val="sv-SE" w:eastAsia="zh-CN"/>
              </w:rPr>
              <w:t>Proposal 1: No additional time/frequency tracking is needed</w:t>
            </w:r>
          </w:p>
          <w:p>
            <w:pPr>
              <w:pStyle w:val="29"/>
              <w:numPr>
                <w:ilvl w:val="0"/>
                <w:numId w:val="4"/>
              </w:numPr>
              <w:overflowPunct/>
              <w:autoSpaceDE/>
              <w:autoSpaceDN/>
              <w:adjustRightInd/>
              <w:spacing w:after="120" w:line="259" w:lineRule="auto"/>
              <w:ind w:left="936" w:leftChars="0" w:hanging="360" w:firstLineChars="0"/>
              <w:textAlignment w:val="auto"/>
              <w:rPr>
                <w:rFonts w:eastAsiaTheme="minorEastAsia"/>
                <w:lang w:val="sv-SE" w:eastAsia="zh-CN"/>
              </w:rPr>
            </w:pPr>
            <w:r>
              <w:rPr>
                <w:rFonts w:eastAsiaTheme="minorEastAsia"/>
                <w:lang w:val="sv-SE" w:eastAsia="zh-CN"/>
              </w:rPr>
              <w:t>Proposal 2: No RRM requirement is defined for this case.</w:t>
            </w:r>
          </w:p>
          <w:p>
            <w:pPr>
              <w:pStyle w:val="29"/>
              <w:numPr>
                <w:ilvl w:val="0"/>
                <w:numId w:val="4"/>
              </w:numPr>
              <w:overflowPunct/>
              <w:autoSpaceDE/>
              <w:autoSpaceDN/>
              <w:adjustRightInd/>
              <w:spacing w:after="120" w:line="259" w:lineRule="auto"/>
              <w:ind w:left="936" w:leftChars="0" w:hanging="360" w:firstLineChars="0"/>
              <w:textAlignment w:val="auto"/>
              <w:rPr>
                <w:rFonts w:hint="default" w:ascii="Times New Roman" w:hAnsi="Times New Roman" w:eastAsia="MS Mincho" w:cs="Times New Roman"/>
                <w:sz w:val="20"/>
                <w:szCs w:val="24"/>
                <w:vertAlign w:val="baseline"/>
                <w:lang w:val="en-US" w:eastAsia="zh-CN" w:bidi="ar-SA"/>
              </w:rPr>
            </w:pPr>
            <w:r>
              <w:rPr>
                <w:rFonts w:eastAsiaTheme="minorEastAsia"/>
                <w:lang w:val="sv-SE" w:eastAsia="zh-CN"/>
              </w:rPr>
              <w:t>Proposal 3: There is no need to restrict the source RS in active UL TCI to be a subset of source RS in DL active TCI list.</w:t>
            </w:r>
          </w:p>
          <w:p>
            <w:pPr>
              <w:pStyle w:val="29"/>
              <w:numPr>
                <w:ilvl w:val="0"/>
                <w:numId w:val="4"/>
              </w:numPr>
              <w:overflowPunct/>
              <w:autoSpaceDE/>
              <w:autoSpaceDN/>
              <w:adjustRightInd/>
              <w:spacing w:after="120" w:line="259" w:lineRule="auto"/>
              <w:ind w:left="936" w:leftChars="0" w:hanging="360" w:firstLineChars="0"/>
              <w:textAlignment w:val="auto"/>
              <w:rPr>
                <w:rFonts w:hint="default" w:ascii="Times New Roman" w:hAnsi="Times New Roman" w:eastAsia="MS Mincho" w:cs="Times New Roman"/>
                <w:sz w:val="20"/>
                <w:szCs w:val="24"/>
                <w:vertAlign w:val="baseline"/>
                <w:lang w:val="en-US" w:eastAsia="zh-CN" w:bidi="ar-SA"/>
              </w:rPr>
            </w:pPr>
            <w:r>
              <w:rPr>
                <w:rFonts w:eastAsiaTheme="minorEastAsia"/>
                <w:lang w:val="sv-SE" w:eastAsia="zh-CN"/>
              </w:rPr>
              <w:t>Proposal 4: Additional time/frequency tracking is needed or check with RAN1.</w:t>
            </w:r>
          </w:p>
        </w:tc>
      </w:tr>
    </w:tbl>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eastAsia="MS Mincho" w:cs="Times New Roman"/>
          <w:sz w:val="20"/>
          <w:szCs w:val="24"/>
          <w:lang w:val="en-US" w:eastAsia="zh-CN" w:bidi="ar-SA"/>
        </w:rPr>
      </w:pPr>
      <w:r>
        <w:rPr>
          <w:rFonts w:hint="eastAsia" w:ascii="Times New Roman" w:hAnsi="Times New Roman" w:eastAsia="MS Mincho" w:cs="Times New Roman"/>
          <w:sz w:val="20"/>
          <w:szCs w:val="24"/>
          <w:lang w:val="en-US" w:eastAsia="zh-CN" w:bidi="ar-SA"/>
        </w:rPr>
        <w:t>Firstly it can be shown that the latter case is possible, i.e. the source RS of UL TCI state is not any source RS in the DL active TCI state list. Under such case, we should address the acquisition of time and frequency tracking. In current UL spatial relation switching, not any UL time tracking is necessary since of UE can always obtain UL time through DL timing. But here it has been identified that the source RS of the UL TCI state is not any source RS of the active DL TCI state, so UE may not maintain the timing of this target UL TCI state. If without any time/frequency tracking performed, how to guarantee the accurate UL transmission timing? So we prefer performing additional time/frequency tracking or check this with RAN1.</w:t>
      </w:r>
    </w:p>
    <w:p>
      <w:pPr>
        <w:pStyle w:val="1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Under mTRP scenario, </w:t>
      </w:r>
      <w:r>
        <w:rPr>
          <w:rFonts w:hint="eastAsia" w:eastAsia="宋体" w:cs="Times New Roman"/>
          <w:b/>
          <w:bCs/>
          <w:color w:val="auto"/>
          <w:sz w:val="21"/>
          <w:szCs w:val="21"/>
          <w:highlight w:val="none"/>
          <w:lang w:val="en-US" w:eastAsia="zh-CN" w:bidi="ar-SA"/>
        </w:rPr>
        <w:t>i</w:t>
      </w:r>
      <w:r>
        <w:rPr>
          <w:rFonts w:hint="eastAsia" w:ascii="Times New Roman" w:hAnsi="Times New Roman" w:eastAsia="宋体" w:cs="Times New Roman"/>
          <w:b/>
          <w:bCs/>
          <w:color w:val="auto"/>
          <w:sz w:val="21"/>
          <w:szCs w:val="21"/>
          <w:highlight w:val="none"/>
          <w:lang w:val="en-US" w:eastAsia="zh-CN" w:bidi="ar-SA"/>
        </w:rPr>
        <w:t>f source RS in UL TCI state is not in the DL active TCI list</w:t>
      </w:r>
      <w:r>
        <w:rPr>
          <w:rFonts w:hint="eastAsia" w:eastAsia="宋体" w:cs="Times New Roman"/>
          <w:b/>
          <w:bCs/>
          <w:color w:val="auto"/>
          <w:sz w:val="21"/>
          <w:szCs w:val="21"/>
          <w:highlight w:val="none"/>
          <w:lang w:val="en-US" w:eastAsia="zh-CN" w:bidi="ar-SA"/>
        </w:rPr>
        <w:t>, the acquisition of time and frequency tracking should be addressed. Performing additional time/frequency tracking is necessary or we can check with RAN1.</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MAC-CE based UL TCI state switching delay when SSB is indicated as PL-RS in UL TCI state for FR2</w:t>
      </w:r>
    </w:p>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This issue has been discussed for several meetings. Even though not any conclusion achieved, the following options were kept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numPr>
                <w:ilvl w:val="0"/>
                <w:numId w:val="8"/>
              </w:numPr>
              <w:kinsoku/>
              <w:wordWrap/>
              <w:overflowPunct/>
              <w:topLinePunct w:val="0"/>
              <w:autoSpaceDE/>
              <w:autoSpaceDN/>
              <w:bidi w:val="0"/>
              <w:adjustRightInd/>
              <w:snapToGrid/>
              <w:spacing w:line="260" w:lineRule="auto"/>
              <w:ind w:left="936" w:leftChars="0" w:hanging="360" w:firstLineChars="0"/>
              <w:textAlignment w:val="auto"/>
              <w:rPr>
                <w:rFonts w:eastAsiaTheme="minorEastAsia"/>
                <w:lang w:val="sv-SE" w:eastAsia="zh-CN"/>
              </w:rPr>
            </w:pPr>
            <w:r>
              <w:rPr>
                <w:rFonts w:eastAsiaTheme="minorEastAsia"/>
                <w:lang w:val="sv-SE" w:eastAsia="zh-CN"/>
              </w:rPr>
              <w:t>Proposal 1(Apple, Huawei, Samsung):</w:t>
            </w:r>
          </w:p>
          <w:p>
            <w:pPr>
              <w:pStyle w:val="29"/>
              <w:keepNext w:val="0"/>
              <w:keepLines w:val="0"/>
              <w:pageBreakBefore w:val="0"/>
              <w:numPr>
                <w:ilvl w:val="1"/>
                <w:numId w:val="4"/>
              </w:numPr>
              <w:kinsoku/>
              <w:wordWrap/>
              <w:overflowPunct/>
              <w:topLinePunct w:val="0"/>
              <w:autoSpaceDE/>
              <w:autoSpaceDN/>
              <w:bidi w:val="0"/>
              <w:adjustRightInd/>
              <w:snapToGrid/>
              <w:spacing w:line="260" w:lineRule="auto"/>
              <w:ind w:left="1656" w:leftChars="0" w:hanging="360" w:firstLineChars="0"/>
              <w:textAlignment w:val="auto"/>
              <w:rPr>
                <w:iCs/>
                <w:lang w:eastAsia="zh-CN"/>
              </w:rPr>
            </w:pPr>
            <w:r>
              <w:rPr>
                <w:iCs/>
                <w:lang w:eastAsia="zh-CN"/>
              </w:rPr>
              <w:t>When PL-RS in UL TCI state switch is SSB in FR2, longer delay is expected.</w:t>
            </w:r>
          </w:p>
          <w:p>
            <w:pPr>
              <w:pStyle w:val="29"/>
              <w:keepNext w:val="0"/>
              <w:keepLines w:val="0"/>
              <w:pageBreakBefore w:val="0"/>
              <w:numPr>
                <w:ilvl w:val="1"/>
                <w:numId w:val="4"/>
              </w:numPr>
              <w:kinsoku/>
              <w:wordWrap/>
              <w:overflowPunct/>
              <w:topLinePunct w:val="0"/>
              <w:autoSpaceDE/>
              <w:autoSpaceDN/>
              <w:bidi w:val="0"/>
              <w:adjustRightInd/>
              <w:snapToGrid/>
              <w:spacing w:line="260" w:lineRule="auto"/>
              <w:ind w:left="1656" w:leftChars="0" w:hanging="360" w:firstLineChars="0"/>
              <w:textAlignment w:val="auto"/>
              <w:rPr>
                <w:iCs/>
                <w:lang w:eastAsia="zh-CN"/>
              </w:rPr>
            </w:pPr>
            <w:r>
              <w:rPr>
                <w:iCs/>
                <w:lang w:eastAsia="zh-CN"/>
              </w:rPr>
              <w:t>If no consensus can be achieved in RAN4, no requirements are defined for this case.</w:t>
            </w:r>
          </w:p>
          <w:p>
            <w:pPr>
              <w:pStyle w:val="29"/>
              <w:keepNext w:val="0"/>
              <w:keepLines w:val="0"/>
              <w:pageBreakBefore w:val="0"/>
              <w:numPr>
                <w:ilvl w:val="0"/>
                <w:numId w:val="8"/>
              </w:numPr>
              <w:kinsoku/>
              <w:wordWrap/>
              <w:overflowPunct/>
              <w:topLinePunct w:val="0"/>
              <w:autoSpaceDE/>
              <w:autoSpaceDN/>
              <w:bidi w:val="0"/>
              <w:adjustRightInd/>
              <w:snapToGrid/>
              <w:spacing w:line="260" w:lineRule="auto"/>
              <w:ind w:left="936" w:leftChars="0" w:hanging="360" w:firstLineChars="0"/>
              <w:textAlignment w:val="auto"/>
              <w:rPr>
                <w:rFonts w:eastAsiaTheme="minorEastAsia"/>
                <w:lang w:val="sv-SE" w:eastAsia="zh-CN"/>
              </w:rPr>
            </w:pPr>
            <w:r>
              <w:rPr>
                <w:rFonts w:eastAsiaTheme="minorEastAsia"/>
                <w:lang w:val="sv-SE" w:eastAsia="zh-CN"/>
              </w:rPr>
              <w:t xml:space="preserve">Proposal 2(MTK,vivo, ZTE, Ericsson): </w:t>
            </w:r>
          </w:p>
          <w:p>
            <w:pPr>
              <w:pStyle w:val="29"/>
              <w:keepNext w:val="0"/>
              <w:keepLines w:val="0"/>
              <w:pageBreakBefore w:val="0"/>
              <w:numPr>
                <w:ilvl w:val="1"/>
                <w:numId w:val="4"/>
              </w:numPr>
              <w:kinsoku/>
              <w:wordWrap/>
              <w:overflowPunct/>
              <w:topLinePunct w:val="0"/>
              <w:autoSpaceDE/>
              <w:autoSpaceDN/>
              <w:bidi w:val="0"/>
              <w:adjustRightInd/>
              <w:snapToGrid/>
              <w:spacing w:line="260" w:lineRule="auto"/>
              <w:ind w:left="1656" w:leftChars="0" w:hanging="360" w:firstLineChars="0"/>
              <w:textAlignment w:val="auto"/>
              <w:rPr>
                <w:iCs/>
                <w:lang w:eastAsia="zh-CN"/>
              </w:rPr>
            </w:pPr>
            <w:r>
              <w:rPr>
                <w:iCs/>
                <w:lang w:eastAsia="zh-CN"/>
              </w:rPr>
              <w:t>Reuse the existing delay requirement of MAC CE based UL TCI state switch.</w:t>
            </w:r>
          </w:p>
          <w:p>
            <w:pPr>
              <w:pStyle w:val="29"/>
              <w:keepNext w:val="0"/>
              <w:keepLines w:val="0"/>
              <w:pageBreakBefore w:val="0"/>
              <w:numPr>
                <w:ilvl w:val="0"/>
                <w:numId w:val="8"/>
              </w:numPr>
              <w:kinsoku/>
              <w:wordWrap/>
              <w:overflowPunct/>
              <w:topLinePunct w:val="0"/>
              <w:autoSpaceDE/>
              <w:autoSpaceDN/>
              <w:bidi w:val="0"/>
              <w:adjustRightInd/>
              <w:snapToGrid/>
              <w:spacing w:line="260" w:lineRule="auto"/>
              <w:ind w:left="936" w:leftChars="0" w:hanging="360"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Pr>
                <w:rFonts w:eastAsiaTheme="minorEastAsia"/>
                <w:lang w:val="sv-SE" w:eastAsia="zh-CN"/>
              </w:rPr>
              <w:t>3(Nokia):</w:t>
            </w:r>
          </w:p>
          <w:p>
            <w:pPr>
              <w:pStyle w:val="29"/>
              <w:keepNext w:val="0"/>
              <w:keepLines w:val="0"/>
              <w:pageBreakBefore w:val="0"/>
              <w:numPr>
                <w:ilvl w:val="1"/>
                <w:numId w:val="4"/>
              </w:numPr>
              <w:kinsoku/>
              <w:wordWrap/>
              <w:overflowPunct/>
              <w:topLinePunct w:val="0"/>
              <w:autoSpaceDE/>
              <w:autoSpaceDN/>
              <w:bidi w:val="0"/>
              <w:adjustRightInd/>
              <w:snapToGrid/>
              <w:spacing w:line="260" w:lineRule="auto"/>
              <w:ind w:left="1656" w:leftChars="0" w:hanging="360" w:firstLineChars="0"/>
              <w:textAlignment w:val="auto"/>
              <w:rPr>
                <w:lang w:eastAsia="zh-CN"/>
              </w:rPr>
            </w:pPr>
            <w:r>
              <w:rPr>
                <w:lang w:eastAsia="zh-CN"/>
              </w:rPr>
              <w:t>There is no need for beam sweeping for PL-RS measurements in FR2 if the PL-RS is SSB (assuming UE is having no more than 4 different PL-RS activated).</w:t>
            </w:r>
          </w:p>
          <w:p>
            <w:pPr>
              <w:pStyle w:val="29"/>
              <w:keepNext w:val="0"/>
              <w:keepLines w:val="0"/>
              <w:pageBreakBefore w:val="0"/>
              <w:numPr>
                <w:ilvl w:val="1"/>
                <w:numId w:val="4"/>
              </w:numPr>
              <w:kinsoku/>
              <w:wordWrap/>
              <w:overflowPunct/>
              <w:topLinePunct w:val="0"/>
              <w:autoSpaceDE/>
              <w:autoSpaceDN/>
              <w:bidi w:val="0"/>
              <w:adjustRightInd/>
              <w:snapToGrid/>
              <w:spacing w:line="260" w:lineRule="auto"/>
              <w:ind w:left="1656" w:leftChars="0" w:hanging="360" w:firstLineChars="0"/>
              <w:textAlignment w:val="auto"/>
              <w:rPr>
                <w:lang w:eastAsia="zh-CN"/>
              </w:rPr>
            </w:pPr>
            <w:r>
              <w:rPr>
                <w:lang w:eastAsia="zh-CN"/>
              </w:rPr>
              <w:t>RAN4 does not discuss UE requirements for the scenario where the UE is configured with more than 4 different PL-RS for</w:t>
            </w:r>
            <w:r>
              <w:t xml:space="preserve"> all active UL (or joint) TCI states.</w:t>
            </w:r>
          </w:p>
          <w:p>
            <w:pPr>
              <w:pStyle w:val="29"/>
              <w:keepNext w:val="0"/>
              <w:keepLines w:val="0"/>
              <w:pageBreakBefore w:val="0"/>
              <w:numPr>
                <w:ilvl w:val="1"/>
                <w:numId w:val="4"/>
              </w:numPr>
              <w:kinsoku/>
              <w:wordWrap/>
              <w:overflowPunct/>
              <w:topLinePunct w:val="0"/>
              <w:autoSpaceDE/>
              <w:autoSpaceDN/>
              <w:bidi w:val="0"/>
              <w:adjustRightInd/>
              <w:snapToGrid/>
              <w:spacing w:line="260" w:lineRule="auto"/>
              <w:ind w:left="1656" w:leftChars="0" w:hanging="360" w:firstLineChars="0"/>
              <w:textAlignment w:val="auto"/>
              <w:rPr>
                <w:lang w:eastAsia="zh-CN"/>
              </w:rPr>
            </w:pPr>
            <w:r>
              <w:rPr>
                <w:lang w:eastAsia="zh-CN"/>
              </w:rPr>
              <w:t xml:space="preserve">When SSB is indicated as PL-RS in UL TCI state for FR2, </w:t>
            </w:r>
          </w:p>
          <w:p>
            <w:pPr>
              <w:keepNext w:val="0"/>
              <w:keepLines w:val="0"/>
              <w:pageBreakBefore w:val="0"/>
              <w:numPr>
                <w:ilvl w:val="0"/>
                <w:numId w:val="9"/>
              </w:numPr>
              <w:kinsoku/>
              <w:wordWrap/>
              <w:overflowPunct/>
              <w:topLinePunct w:val="0"/>
              <w:autoSpaceDE/>
              <w:autoSpaceDN/>
              <w:bidi w:val="0"/>
              <w:adjustRightInd/>
              <w:snapToGrid/>
              <w:spacing w:line="260" w:lineRule="auto"/>
              <w:ind w:hanging="363"/>
              <w:contextualSpacing/>
              <w:textAlignment w:val="auto"/>
            </w:pPr>
            <w:r>
              <w:t xml:space="preserve">The number of sample M will not always be fixed as 5 samples. </w:t>
            </w:r>
          </w:p>
          <w:p>
            <w:pPr>
              <w:keepNext w:val="0"/>
              <w:keepLines w:val="0"/>
              <w:pageBreakBefore w:val="0"/>
              <w:numPr>
                <w:ilvl w:val="0"/>
                <w:numId w:val="9"/>
              </w:numPr>
              <w:kinsoku/>
              <w:wordWrap/>
              <w:overflowPunct/>
              <w:topLinePunct w:val="0"/>
              <w:autoSpaceDE/>
              <w:autoSpaceDN/>
              <w:bidi w:val="0"/>
              <w:adjustRightInd/>
              <w:snapToGrid/>
              <w:spacing w:line="260" w:lineRule="auto"/>
              <w:ind w:hanging="363"/>
              <w:contextualSpacing/>
              <w:textAlignment w:val="auto"/>
            </w:pPr>
            <w:r>
              <w:t>If a UE performs both L1-RSRP measurements and PL-RS measurements on the same SSB, the number of samples used for L1-RSRP is counted for pathloss measurement.</w:t>
            </w:r>
          </w:p>
          <w:p>
            <w:pPr>
              <w:keepNext w:val="0"/>
              <w:keepLines w:val="0"/>
              <w:pageBreakBefore w:val="0"/>
              <w:numPr>
                <w:ilvl w:val="0"/>
                <w:numId w:val="9"/>
              </w:numPr>
              <w:kinsoku/>
              <w:wordWrap/>
              <w:overflowPunct/>
              <w:topLinePunct w:val="0"/>
              <w:autoSpaceDE/>
              <w:autoSpaceDN/>
              <w:bidi w:val="0"/>
              <w:adjustRightInd/>
              <w:snapToGrid/>
              <w:spacing w:line="260" w:lineRule="auto"/>
              <w:ind w:hanging="363"/>
              <w:contextualSpacing/>
              <w:textAlignment w:val="auto"/>
              <w:rPr>
                <w:rFonts w:hint="default"/>
                <w:b/>
                <w:bCs/>
                <w:i w:val="0"/>
                <w:iCs w:val="0"/>
                <w:sz w:val="21"/>
                <w:szCs w:val="21"/>
                <w:highlight w:val="lightGray"/>
                <w:u w:val="single"/>
                <w:vertAlign w:val="baseline"/>
                <w:lang w:val="en-US" w:eastAsia="zh-CN"/>
              </w:rPr>
            </w:pPr>
            <w:r>
              <w:t xml:space="preserve">If a UE has reported L1-RSRP measurement on a PL-RS within a time window, the PL-RS is regarded as maintained. </w:t>
            </w:r>
          </w:p>
        </w:tc>
      </w:tr>
    </w:tbl>
    <w:p>
      <w:pPr>
        <w:pStyle w:val="11"/>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The controversial point is whether additional Rx beam sweeping for PL-RS measurement necessary or not. When a SSB is indicated as PL-RS in target UL TCI state, which means the source RS is the SSB or QCL-Ded with the SSB since beam alignment should be guaranteed. It should be emphasized once more that beam alignment is the precondition based on previous agreements. We provide analysis for known case and unknown case respectively.</w:t>
      </w:r>
    </w:p>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known case, UE has identified the L1-RSRP and beam information of the source RS, so it is not necessary for UE to perform L1-RSRP measurement, so the requirement should be:</w:t>
      </w:r>
    </w:p>
    <w:p>
      <w:pPr>
        <w:pStyle w:val="29"/>
        <w:widowControl w:val="0"/>
        <w:numPr>
          <w:ilvl w:val="1"/>
          <w:numId w:val="4"/>
        </w:numPr>
        <w:overflowPunct/>
        <w:autoSpaceDE/>
        <w:autoSpaceDN/>
        <w:adjustRightIn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pPr>
        <w:pStyle w:val="29"/>
        <w:widowControl w:val="0"/>
        <w:numPr>
          <w:ilvl w:val="1"/>
          <w:numId w:val="4"/>
        </w:numPr>
        <w:overflowPunct/>
        <w:autoSpaceDE/>
        <w:autoSpaceDN/>
        <w:adjustRightInd/>
        <w:ind w:firstLineChars="0"/>
        <w:textAlignment w:val="auto"/>
        <w:rPr>
          <w:lang w:eastAsia="ja-JP"/>
        </w:rPr>
      </w:pPr>
      <w:r>
        <w:rPr>
          <w:lang w:eastAsia="ja-JP"/>
        </w:rPr>
        <w:t>NM is equal to 1 if PL-RS is not maintained, and equal to 0 otherwise</w:t>
      </w:r>
    </w:p>
    <w:p>
      <w:pPr>
        <w:pStyle w:val="11"/>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For unknown case, UE needs to perform L1-RSRP to acquire suitable RX beam and the L1-RSRP, then with the assumed RX beam to measure PL-RS RSRP. So for PL-RS RSRP measurement, not need RX beam sweeping any more. So we prefer Proposal 4.</w:t>
      </w:r>
    </w:p>
    <w:p>
      <w:pPr>
        <w:pStyle w:val="11"/>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However, to move forward, maybe a compromised solution is needed. We noticed that some company believe whether additional Rx beam sweeping for PL-RS measurement is necessary or not, which depends on UE implementation. So maybe different UEs have different implementation. We can not accept Proposal 1 since it is too ambiguous in which we should try to avoid. We are open to discuss the compromised solution, such as a clear but not too long additional latency.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color w:val="auto"/>
          <w:sz w:val="20"/>
          <w:szCs w:val="20"/>
          <w:u w:val="singl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to reuse the existing delay requirement of MAC CE based UL TCI state switch. However to move forward, a compromised solution is needed, e.g. allowing a clear but not too long additional latency.</w:t>
      </w:r>
    </w:p>
    <w:p>
      <w:pPr>
        <w:pStyle w:val="3"/>
        <w:bidi w:val="0"/>
        <w:rPr>
          <w:rFonts w:hint="eastAsia"/>
          <w:color w:val="auto"/>
          <w:sz w:val="28"/>
          <w:szCs w:val="28"/>
          <w:highlight w:val="none"/>
          <w:lang w:val="en-US" w:eastAsia="zh-CN"/>
        </w:rPr>
      </w:pPr>
      <w:r>
        <w:rPr>
          <w:rFonts w:hint="eastAsia"/>
          <w:color w:val="auto"/>
          <w:sz w:val="28"/>
          <w:szCs w:val="28"/>
          <w:highlight w:val="none"/>
          <w:lang w:val="en-US" w:eastAsia="zh-CN"/>
        </w:rPr>
        <w:t>2.2 Inter-cell beam measurement</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default"/>
          <w:b/>
          <w:bCs/>
          <w:i w:val="0"/>
          <w:iCs w:val="0"/>
          <w:sz w:val="21"/>
          <w:szCs w:val="21"/>
          <w:u w:val="single"/>
          <w:lang w:val="en-US" w:eastAsia="zh-CN"/>
        </w:rPr>
        <w:t>Measurement restriction</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This issue was proposed in last meeting. The following options were kept in the WF:</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rPr>
                <w:rFonts w:hint="default"/>
                <w:highlight w:val="none"/>
                <w:lang w:val="en-US" w:eastAsia="zh-CN"/>
              </w:rPr>
            </w:pPr>
            <w:r>
              <w:rPr>
                <w:rFonts w:hint="eastAsia"/>
                <w:highlight w:val="none"/>
                <w:lang w:val="en-US" w:eastAsia="zh-CN"/>
              </w:rPr>
              <w:t>Measurement restriction when SSB for BFD/CBD/RLM is not Subset of L1-RSRP:</w:t>
            </w:r>
          </w:p>
          <w:p>
            <w:pPr>
              <w:numPr>
                <w:ilvl w:val="0"/>
                <w:numId w:val="4"/>
              </w:numPr>
              <w:spacing w:after="120" w:line="252" w:lineRule="auto"/>
              <w:rPr>
                <w:rFonts w:ascii="Calibri" w:hAnsi="Calibri" w:cs="Calibri"/>
                <w:lang w:eastAsia="zh-CN"/>
              </w:rPr>
            </w:pPr>
            <w:r>
              <w:rPr>
                <w:lang w:eastAsia="zh-CN"/>
              </w:rPr>
              <w:t>Proposals</w:t>
            </w:r>
          </w:p>
          <w:p>
            <w:pPr>
              <w:numPr>
                <w:ilvl w:val="2"/>
                <w:numId w:val="4"/>
              </w:numPr>
              <w:spacing w:after="120" w:line="252" w:lineRule="auto"/>
              <w:ind w:left="2376"/>
              <w:rPr>
                <w:sz w:val="22"/>
                <w:szCs w:val="22"/>
              </w:rPr>
            </w:pPr>
            <w:r>
              <w:t>Option 1: Define measurement restriction.</w:t>
            </w:r>
          </w:p>
          <w:p>
            <w:pPr>
              <w:numPr>
                <w:ilvl w:val="2"/>
                <w:numId w:val="4"/>
              </w:numPr>
              <w:spacing w:after="120" w:line="252" w:lineRule="auto"/>
              <w:ind w:left="2376"/>
              <w:rPr>
                <w:sz w:val="22"/>
                <w:szCs w:val="22"/>
              </w:rPr>
            </w:pPr>
            <w:r>
              <w:t>Option 2: others</w:t>
            </w:r>
          </w:p>
          <w:p>
            <w:pPr>
              <w:numPr>
                <w:ilvl w:val="0"/>
                <w:numId w:val="0"/>
              </w:numPr>
              <w:rPr>
                <w:rFonts w:hint="default"/>
                <w:highlight w:val="none"/>
                <w:lang w:val="en-US" w:eastAsia="zh-CN"/>
              </w:rPr>
            </w:pPr>
            <w:r>
              <w:rPr>
                <w:rFonts w:hint="eastAsia"/>
                <w:highlight w:val="none"/>
                <w:lang w:val="en-US" w:eastAsia="zh-CN"/>
              </w:rPr>
              <w:t>Measurement restriction when SSB for BFD/CBD/RLM is Subset of L1-RSRP:</w:t>
            </w:r>
          </w:p>
          <w:p>
            <w:pPr>
              <w:numPr>
                <w:ilvl w:val="0"/>
                <w:numId w:val="4"/>
              </w:numPr>
              <w:spacing w:after="120" w:line="252" w:lineRule="auto"/>
              <w:ind w:left="740"/>
              <w:rPr>
                <w:rFonts w:ascii="Calibri" w:hAnsi="Calibri" w:cs="Calibri"/>
                <w:lang w:eastAsia="zh-CN"/>
              </w:rPr>
            </w:pPr>
            <w:r>
              <w:rPr>
                <w:lang w:eastAsia="zh-CN"/>
              </w:rPr>
              <w:t>Proposals</w:t>
            </w:r>
          </w:p>
          <w:p>
            <w:pPr>
              <w:numPr>
                <w:ilvl w:val="2"/>
                <w:numId w:val="4"/>
              </w:numPr>
              <w:spacing w:after="120" w:line="252" w:lineRule="auto"/>
              <w:ind w:left="2376"/>
              <w:rPr>
                <w:sz w:val="22"/>
                <w:szCs w:val="22"/>
              </w:rPr>
            </w:pPr>
            <w:r>
              <w:t>Option 1: Define measurement restriction.</w:t>
            </w:r>
          </w:p>
          <w:p>
            <w:pPr>
              <w:numPr>
                <w:ilvl w:val="2"/>
                <w:numId w:val="4"/>
              </w:numPr>
              <w:spacing w:after="120" w:line="252" w:lineRule="auto"/>
              <w:ind w:left="2376"/>
              <w:rPr>
                <w:rFonts w:hint="default"/>
                <w:vertAlign w:val="baseline"/>
                <w:lang w:val="en-US" w:eastAsia="zh-CN"/>
              </w:rPr>
            </w:pPr>
            <w:r>
              <w:t>Option 2: Define sharing scheme.</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in order to identify for which case, the measurement restriction should be discussed, we can firstly list all supported L1 measurements for SC and CDP respectively.</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For SC, R17 supports the following L1 measurements: L1-RSRP, L1-SINR, RLM, BFD, CBD. Both SSB based and CSI-RS based are supported.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For NSC, R17 only supports the following L1 measurements: L1-RSRP, BFD, CBD. Further more, only SSB based is supported.</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So, based on the all supported L1 measurements for SC and CDP, we can summarize the overlapping measurements between SC and CDP as follows:</w:t>
      </w:r>
    </w:p>
    <w:tbl>
      <w:tblPr>
        <w:tblStyle w:val="58"/>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2516"/>
        <w:gridCol w:w="2672"/>
        <w:gridCol w:w="2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jc w:val="center"/>
              <w:textAlignment w:val="baseline"/>
              <w:rPr>
                <w:rFonts w:eastAsiaTheme="minorEastAsia"/>
                <w:sz w:val="22"/>
                <w:szCs w:val="22"/>
                <w:lang w:val="en-US" w:eastAsia="zh-CN"/>
              </w:rPr>
            </w:pPr>
            <w:r>
              <w:rPr>
                <w:rFonts w:eastAsiaTheme="minorEastAsia"/>
                <w:sz w:val="22"/>
                <w:szCs w:val="22"/>
                <w:lang w:val="en-US" w:eastAsia="zh-CN"/>
              </w:rPr>
              <w:t>Case</w:t>
            </w:r>
          </w:p>
        </w:tc>
        <w:tc>
          <w:tcPr>
            <w:tcW w:w="251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jc w:val="center"/>
              <w:textAlignment w:val="baseline"/>
              <w:rPr>
                <w:rFonts w:eastAsia="Yu Mincho"/>
                <w:sz w:val="22"/>
                <w:szCs w:val="22"/>
                <w:lang w:val="en-US" w:eastAsia="en-GB"/>
              </w:rPr>
            </w:pPr>
            <w:r>
              <w:rPr>
                <w:rFonts w:hint="eastAsia" w:eastAsiaTheme="minorEastAsia"/>
                <w:sz w:val="22"/>
                <w:lang w:val="en-US" w:eastAsia="zh-CN"/>
              </w:rPr>
              <w:t>S</w:t>
            </w:r>
            <w:r>
              <w:rPr>
                <w:rFonts w:eastAsiaTheme="minorEastAsia"/>
                <w:sz w:val="22"/>
                <w:lang w:val="en-US" w:eastAsia="zh-CN"/>
              </w:rPr>
              <w:t>C SSB</w:t>
            </w:r>
          </w:p>
        </w:tc>
        <w:tc>
          <w:tcPr>
            <w:tcW w:w="26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jc w:val="center"/>
              <w:textAlignment w:val="baseline"/>
              <w:rPr>
                <w:rFonts w:eastAsia="Yu Mincho"/>
                <w:sz w:val="22"/>
                <w:szCs w:val="22"/>
                <w:lang w:val="en-US" w:eastAsia="en-GB"/>
              </w:rPr>
            </w:pPr>
            <w:r>
              <w:rPr>
                <w:rFonts w:eastAsiaTheme="minorEastAsia"/>
                <w:sz w:val="22"/>
                <w:lang w:val="en-US" w:eastAsia="zh-CN"/>
              </w:rPr>
              <w:t>CDP SSB</w:t>
            </w:r>
          </w:p>
        </w:tc>
        <w:tc>
          <w:tcPr>
            <w:tcW w:w="296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jc w:val="center"/>
              <w:textAlignment w:val="baseline"/>
              <w:rPr>
                <w:rFonts w:eastAsiaTheme="minorEastAsia"/>
                <w:sz w:val="22"/>
                <w:szCs w:val="22"/>
                <w:lang w:val="en-US" w:eastAsia="zh-CN"/>
              </w:rPr>
            </w:pPr>
            <w:r>
              <w:rPr>
                <w:rFonts w:eastAsiaTheme="minorEastAsia"/>
                <w:sz w:val="22"/>
                <w:szCs w:val="22"/>
                <w:lang w:val="en-US" w:eastAsia="zh-CN"/>
              </w:rPr>
              <w:t>Strategy for overlapping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Yu Mincho"/>
                <w:sz w:val="22"/>
                <w:szCs w:val="22"/>
                <w:lang w:val="en-US" w:eastAsia="en-GB"/>
              </w:rPr>
            </w:pPr>
            <w:r>
              <w:rPr>
                <w:rFonts w:eastAsia="Yu Mincho"/>
                <w:sz w:val="22"/>
                <w:szCs w:val="22"/>
                <w:lang w:val="en-US" w:eastAsia="en-GB"/>
              </w:rPr>
              <w:t>#1</w:t>
            </w:r>
          </w:p>
        </w:tc>
        <w:tc>
          <w:tcPr>
            <w:tcW w:w="2516"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L1-RSRP</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Yu Mincho"/>
                <w:sz w:val="22"/>
                <w:szCs w:val="22"/>
                <w:lang w:val="en-US" w:eastAsia="en-GB"/>
              </w:rPr>
            </w:pPr>
            <w:r>
              <w:rPr>
                <w:rFonts w:eastAsiaTheme="minorEastAsia"/>
                <w:sz w:val="22"/>
                <w:szCs w:val="22"/>
                <w:lang w:val="en-US" w:eastAsia="zh-CN"/>
              </w:rPr>
              <w:t>Configured as L1-RSRP</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Theme="minorEastAsia"/>
                <w:sz w:val="22"/>
                <w:szCs w:val="22"/>
                <w:lang w:val="en-US" w:eastAsia="zh-CN"/>
              </w:rPr>
            </w:pPr>
            <w:r>
              <w:rPr>
                <w:rFonts w:eastAsiaTheme="minorEastAsia"/>
                <w:sz w:val="22"/>
                <w:szCs w:val="22"/>
                <w:lang w:val="en-US" w:eastAsia="zh-CN"/>
              </w:rPr>
              <w:t>Sharing</w:t>
            </w:r>
            <w:r>
              <w:rPr>
                <w:rFonts w:hint="eastAsia" w:eastAsiaTheme="minorEastAsia"/>
                <w:sz w:val="22"/>
                <w:szCs w:val="22"/>
                <w:lang w:val="en-US" w:eastAsia="zh-CN"/>
              </w:rPr>
              <w:t xml:space="preserve">, by </w:t>
            </w:r>
            <w:r>
              <w:rPr>
                <w:color w:val="auto"/>
                <w:sz w:val="22"/>
                <w:szCs w:val="22"/>
                <w:lang w:val="fr-FR"/>
              </w:rPr>
              <w:t>P</w:t>
            </w:r>
            <w:r>
              <w:rPr>
                <w:color w:val="auto"/>
                <w:sz w:val="22"/>
                <w:szCs w:val="22"/>
                <w:vertAlign w:val="subscript"/>
                <w:lang w:val="fr-FR"/>
              </w:rPr>
              <w:t>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hint="eastAsia" w:eastAsiaTheme="minorEastAsia"/>
                <w:sz w:val="22"/>
                <w:szCs w:val="22"/>
                <w:lang w:val="en-US" w:eastAsia="zh-CN"/>
              </w:rPr>
              <w:t>#</w:t>
            </w:r>
            <w:r>
              <w:rPr>
                <w:rFonts w:eastAsiaTheme="minorEastAsia"/>
                <w:sz w:val="22"/>
                <w:szCs w:val="22"/>
                <w:lang w:val="en-US" w:eastAsia="zh-CN"/>
              </w:rPr>
              <w:t>2</w:t>
            </w:r>
          </w:p>
        </w:tc>
        <w:tc>
          <w:tcPr>
            <w:tcW w:w="2516"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BFD/CBD</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BFD/CBD</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宋体"/>
                <w:sz w:val="22"/>
                <w:szCs w:val="22"/>
                <w:lang w:val="en-US" w:eastAsia="zh-CN"/>
              </w:rPr>
            </w:pPr>
            <w:r>
              <w:rPr>
                <w:rFonts w:eastAsiaTheme="minorEastAsia"/>
                <w:sz w:val="22"/>
                <w:szCs w:val="22"/>
                <w:lang w:val="en-US" w:eastAsia="zh-CN"/>
              </w:rPr>
              <w:t>Sharing</w:t>
            </w:r>
            <w:r>
              <w:rPr>
                <w:rFonts w:hint="eastAsia" w:eastAsiaTheme="minorEastAsia"/>
                <w:sz w:val="22"/>
                <w:szCs w:val="22"/>
                <w:lang w:val="en-US" w:eastAsia="zh-CN"/>
              </w:rPr>
              <w:t xml:space="preserve">, by </w:t>
            </w:r>
            <w:r>
              <w:rPr>
                <w:color w:val="auto"/>
                <w:sz w:val="22"/>
                <w:szCs w:val="22"/>
                <w:lang w:val="fr-FR"/>
              </w:rPr>
              <w:t>P</w:t>
            </w:r>
            <w:r>
              <w:rPr>
                <w:color w:val="auto"/>
                <w:sz w:val="22"/>
                <w:szCs w:val="22"/>
                <w:vertAlign w:val="subscript"/>
                <w:lang w:val="fr-FR"/>
              </w:rPr>
              <w:t>TRP</w:t>
            </w:r>
            <w:r>
              <w:rPr>
                <w:rFonts w:hint="eastAsia" w:eastAsiaTheme="minorEastAsia"/>
                <w:sz w:val="22"/>
                <w:szCs w:val="2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hint="eastAsia" w:eastAsiaTheme="minorEastAsia"/>
                <w:sz w:val="22"/>
                <w:szCs w:val="22"/>
                <w:lang w:val="en-US" w:eastAsia="zh-CN"/>
              </w:rPr>
              <w:t>#</w:t>
            </w:r>
            <w:r>
              <w:rPr>
                <w:rFonts w:eastAsiaTheme="minorEastAsia"/>
                <w:sz w:val="22"/>
                <w:szCs w:val="22"/>
                <w:lang w:val="en-US" w:eastAsia="zh-CN"/>
              </w:rPr>
              <w:t>3</w:t>
            </w:r>
          </w:p>
        </w:tc>
        <w:tc>
          <w:tcPr>
            <w:tcW w:w="2516"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L1-RSRP</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BFD/CBD</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hint="eastAsia" w:eastAsiaTheme="minorEastAsia"/>
                <w:sz w:val="22"/>
                <w:szCs w:val="22"/>
                <w:lang w:val="en-US" w:eastAsia="zh-CN"/>
              </w:rPr>
              <w:t>F</w:t>
            </w:r>
            <w:r>
              <w:rPr>
                <w:rFonts w:eastAsiaTheme="minorEastAsia"/>
                <w:sz w:val="22"/>
                <w:szCs w:val="22"/>
                <w:lang w:val="en-US"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hint="eastAsia" w:eastAsiaTheme="minorEastAsia"/>
                <w:sz w:val="22"/>
                <w:szCs w:val="22"/>
                <w:lang w:val="en-US" w:eastAsia="zh-CN"/>
              </w:rPr>
              <w:t>#</w:t>
            </w:r>
            <w:r>
              <w:rPr>
                <w:rFonts w:eastAsiaTheme="minorEastAsia"/>
                <w:sz w:val="22"/>
                <w:szCs w:val="22"/>
                <w:lang w:val="en-US" w:eastAsia="zh-CN"/>
              </w:rPr>
              <w:t>4</w:t>
            </w:r>
          </w:p>
        </w:tc>
        <w:tc>
          <w:tcPr>
            <w:tcW w:w="2516"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BFD/CBD</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L1-RSRP</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Theme="minorEastAsia"/>
                <w:sz w:val="22"/>
                <w:szCs w:val="22"/>
                <w:lang w:val="en-US" w:eastAsia="zh-CN"/>
              </w:rPr>
            </w:pPr>
            <w:r>
              <w:rPr>
                <w:rFonts w:hint="eastAsia" w:eastAsiaTheme="minorEastAsia"/>
                <w:strike w:val="0"/>
                <w:dstrike w:val="0"/>
                <w:sz w:val="22"/>
                <w:szCs w:val="22"/>
                <w:lang w:val="en-US" w:eastAsia="zh-CN"/>
              </w:rPr>
              <w:t>Measurement restriction, specified in Section 9.13.5</w:t>
            </w:r>
            <w:r>
              <w:rPr>
                <w:rFonts w:hint="eastAsia" w:eastAsiaTheme="minorEastAsia"/>
                <w:color w:val="0000FF"/>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hint="eastAsia" w:eastAsiaTheme="minorEastAsia"/>
                <w:sz w:val="22"/>
                <w:szCs w:val="22"/>
                <w:lang w:val="en-US" w:eastAsia="zh-CN"/>
              </w:rPr>
              <w:t>#</w:t>
            </w:r>
            <w:r>
              <w:rPr>
                <w:rFonts w:eastAsiaTheme="minorEastAsia"/>
                <w:sz w:val="22"/>
                <w:szCs w:val="22"/>
                <w:lang w:val="en-US" w:eastAsia="zh-CN"/>
              </w:rPr>
              <w:t>5</w:t>
            </w:r>
          </w:p>
        </w:tc>
        <w:tc>
          <w:tcPr>
            <w:tcW w:w="2516"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RLM</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BFD/CBD</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hint="eastAsia" w:eastAsiaTheme="minorEastAsia"/>
                <w:sz w:val="22"/>
                <w:szCs w:val="22"/>
                <w:lang w:val="en-US" w:eastAsia="zh-CN"/>
              </w:rPr>
              <w:t>F</w:t>
            </w:r>
            <w:r>
              <w:rPr>
                <w:rFonts w:eastAsiaTheme="minorEastAsia"/>
                <w:sz w:val="22"/>
                <w:szCs w:val="22"/>
                <w:lang w:val="en-US"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hint="eastAsia" w:eastAsiaTheme="minorEastAsia"/>
                <w:sz w:val="22"/>
                <w:szCs w:val="22"/>
                <w:lang w:val="en-US" w:eastAsia="zh-CN"/>
              </w:rPr>
              <w:t>#</w:t>
            </w:r>
            <w:r>
              <w:rPr>
                <w:rFonts w:eastAsiaTheme="minorEastAsia"/>
                <w:sz w:val="22"/>
                <w:szCs w:val="22"/>
                <w:lang w:val="en-US" w:eastAsia="zh-CN"/>
              </w:rPr>
              <w:t>6</w:t>
            </w:r>
          </w:p>
        </w:tc>
        <w:tc>
          <w:tcPr>
            <w:tcW w:w="2516"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RLM</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sz w:val="22"/>
                <w:szCs w:val="22"/>
                <w:lang w:val="en-US" w:eastAsia="zh-CN"/>
              </w:rPr>
            </w:pPr>
            <w:r>
              <w:rPr>
                <w:rFonts w:eastAsiaTheme="minorEastAsia"/>
                <w:sz w:val="22"/>
                <w:szCs w:val="22"/>
                <w:lang w:val="en-US" w:eastAsia="zh-CN"/>
              </w:rPr>
              <w:t>Configured as L1-RSRP</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Theme="minorEastAsia"/>
                <w:sz w:val="22"/>
                <w:szCs w:val="22"/>
                <w:lang w:val="en-US" w:eastAsia="zh-CN"/>
              </w:rPr>
            </w:pPr>
            <w:r>
              <w:rPr>
                <w:rFonts w:hint="eastAsia" w:eastAsiaTheme="minorEastAsia"/>
                <w:strike w:val="0"/>
                <w:dstrike w:val="0"/>
                <w:sz w:val="22"/>
                <w:szCs w:val="22"/>
                <w:lang w:val="en-US" w:eastAsia="zh-CN"/>
              </w:rPr>
              <w:t>Measurement restriction, specified in Section 9.13.5</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It seems that only Case#3 and #5 are not referred by the current requirements. So we need to identify the strategy for the two cases.</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1"/>
          <w:szCs w:val="21"/>
          <w:highlight w:val="none"/>
          <w:lang w:val="en-US" w:eastAsia="zh-CN" w:bidi="ar-SA"/>
        </w:rPr>
      </w:pPr>
      <w:r>
        <w:rPr>
          <w:rFonts w:hint="eastAsia" w:ascii="Times New Roman" w:hAnsi="Times New Roman" w:cs="Times New Roman"/>
          <w:b/>
          <w:bCs/>
          <w:color w:val="auto"/>
          <w:sz w:val="21"/>
          <w:szCs w:val="21"/>
          <w:highlight w:val="none"/>
          <w:lang w:val="en-US" w:eastAsia="zh-CN" w:bidi="ar-SA"/>
        </w:rPr>
        <w:t>Observation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Regarding to the measurement restriction, based on all the supported L1 measurements between SC and CDP, only the following Case #3 and #5 should be identified. For other cases, the strategy has been provided in current specification.</w:t>
      </w:r>
    </w:p>
    <w:tbl>
      <w:tblPr>
        <w:tblStyle w:val="58"/>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2659"/>
        <w:gridCol w:w="2672"/>
        <w:gridCol w:w="2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jc w:val="center"/>
              <w:textAlignment w:val="baseline"/>
              <w:rPr>
                <w:rFonts w:eastAsiaTheme="minorEastAsia"/>
                <w:b/>
                <w:bCs/>
                <w:sz w:val="22"/>
                <w:szCs w:val="22"/>
                <w:lang w:val="en-US" w:eastAsia="zh-CN"/>
              </w:rPr>
            </w:pPr>
            <w:r>
              <w:rPr>
                <w:rFonts w:eastAsiaTheme="minorEastAsia"/>
                <w:b/>
                <w:bCs/>
                <w:sz w:val="22"/>
                <w:szCs w:val="22"/>
                <w:lang w:val="en-US" w:eastAsia="zh-CN"/>
              </w:rPr>
              <w:t>Case</w:t>
            </w:r>
          </w:p>
        </w:tc>
        <w:tc>
          <w:tcPr>
            <w:tcW w:w="2659"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jc w:val="center"/>
              <w:textAlignment w:val="baseline"/>
              <w:rPr>
                <w:rFonts w:eastAsia="Yu Mincho"/>
                <w:b/>
                <w:bCs/>
                <w:sz w:val="22"/>
                <w:szCs w:val="22"/>
                <w:lang w:val="en-US" w:eastAsia="en-GB"/>
              </w:rPr>
            </w:pPr>
            <w:r>
              <w:rPr>
                <w:rFonts w:hint="eastAsia" w:eastAsiaTheme="minorEastAsia"/>
                <w:b/>
                <w:bCs/>
                <w:sz w:val="22"/>
                <w:lang w:val="en-US" w:eastAsia="zh-CN"/>
              </w:rPr>
              <w:t>S</w:t>
            </w:r>
            <w:r>
              <w:rPr>
                <w:rFonts w:eastAsiaTheme="minorEastAsia"/>
                <w:b/>
                <w:bCs/>
                <w:sz w:val="22"/>
                <w:lang w:val="en-US" w:eastAsia="zh-CN"/>
              </w:rPr>
              <w:t>C SSB</w:t>
            </w:r>
          </w:p>
        </w:tc>
        <w:tc>
          <w:tcPr>
            <w:tcW w:w="26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jc w:val="center"/>
              <w:textAlignment w:val="baseline"/>
              <w:rPr>
                <w:rFonts w:eastAsia="Yu Mincho"/>
                <w:b/>
                <w:bCs/>
                <w:sz w:val="22"/>
                <w:szCs w:val="22"/>
                <w:lang w:val="en-US" w:eastAsia="en-GB"/>
              </w:rPr>
            </w:pPr>
            <w:r>
              <w:rPr>
                <w:rFonts w:eastAsiaTheme="minorEastAsia"/>
                <w:b/>
                <w:bCs/>
                <w:sz w:val="22"/>
                <w:lang w:val="en-US" w:eastAsia="zh-CN"/>
              </w:rPr>
              <w:t>CDP SSB</w:t>
            </w:r>
          </w:p>
        </w:tc>
        <w:tc>
          <w:tcPr>
            <w:tcW w:w="296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jc w:val="center"/>
              <w:textAlignment w:val="baseline"/>
              <w:rPr>
                <w:rFonts w:eastAsiaTheme="minorEastAsia"/>
                <w:b/>
                <w:bCs/>
                <w:sz w:val="22"/>
                <w:szCs w:val="22"/>
                <w:lang w:val="en-US" w:eastAsia="zh-CN"/>
              </w:rPr>
            </w:pPr>
            <w:r>
              <w:rPr>
                <w:rFonts w:eastAsiaTheme="minorEastAsia"/>
                <w:b/>
                <w:bCs/>
                <w:sz w:val="22"/>
                <w:szCs w:val="22"/>
                <w:lang w:val="en-US" w:eastAsia="zh-CN"/>
              </w:rPr>
              <w:t>Strategy for overlapping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Yu Mincho"/>
                <w:b/>
                <w:bCs/>
                <w:sz w:val="22"/>
                <w:szCs w:val="22"/>
                <w:lang w:val="en-US" w:eastAsia="en-GB"/>
              </w:rPr>
            </w:pPr>
            <w:r>
              <w:rPr>
                <w:rFonts w:eastAsia="Yu Mincho"/>
                <w:b/>
                <w:bCs/>
                <w:sz w:val="22"/>
                <w:szCs w:val="22"/>
                <w:lang w:val="en-US" w:eastAsia="en-GB"/>
              </w:rPr>
              <w:t>#1</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L1-RSRP</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Yu Mincho"/>
                <w:b/>
                <w:bCs/>
                <w:sz w:val="22"/>
                <w:szCs w:val="22"/>
                <w:lang w:val="en-US" w:eastAsia="en-GB"/>
              </w:rPr>
            </w:pPr>
            <w:r>
              <w:rPr>
                <w:rFonts w:eastAsiaTheme="minorEastAsia"/>
                <w:b/>
                <w:bCs/>
                <w:sz w:val="22"/>
                <w:szCs w:val="22"/>
                <w:lang w:val="en-US" w:eastAsia="zh-CN"/>
              </w:rPr>
              <w:t>Configured as L1-RSRP</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Theme="minorEastAsia"/>
                <w:b/>
                <w:bCs/>
                <w:sz w:val="22"/>
                <w:szCs w:val="22"/>
                <w:lang w:val="en-US" w:eastAsia="zh-CN"/>
              </w:rPr>
            </w:pPr>
            <w:r>
              <w:rPr>
                <w:rFonts w:eastAsiaTheme="minorEastAsia"/>
                <w:b/>
                <w:bCs/>
                <w:sz w:val="22"/>
                <w:szCs w:val="22"/>
                <w:lang w:val="en-US" w:eastAsia="zh-CN"/>
              </w:rPr>
              <w:t>Sharing</w:t>
            </w:r>
            <w:r>
              <w:rPr>
                <w:rFonts w:hint="eastAsia" w:eastAsiaTheme="minorEastAsia"/>
                <w:b/>
                <w:bCs/>
                <w:sz w:val="22"/>
                <w:szCs w:val="22"/>
                <w:lang w:val="en-US" w:eastAsia="zh-CN"/>
              </w:rPr>
              <w:t xml:space="preserve">, by </w:t>
            </w:r>
            <w:r>
              <w:rPr>
                <w:b/>
                <w:bCs/>
                <w:color w:val="auto"/>
                <w:sz w:val="22"/>
                <w:szCs w:val="22"/>
                <w:lang w:val="fr-FR"/>
              </w:rPr>
              <w:t>P</w:t>
            </w:r>
            <w:r>
              <w:rPr>
                <w:b/>
                <w:bCs/>
                <w:color w:val="auto"/>
                <w:sz w:val="22"/>
                <w:szCs w:val="22"/>
                <w:vertAlign w:val="subscript"/>
                <w:lang w:val="fr-FR"/>
              </w:rPr>
              <w:t>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w:t>
            </w:r>
            <w:r>
              <w:rPr>
                <w:rFonts w:eastAsiaTheme="minorEastAsia"/>
                <w:b/>
                <w:bCs/>
                <w:sz w:val="22"/>
                <w:szCs w:val="22"/>
                <w:lang w:val="en-US" w:eastAsia="zh-CN"/>
              </w:rPr>
              <w:t>2</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BFD/CBD</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BFD/CBD</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宋体"/>
                <w:b/>
                <w:bCs/>
                <w:sz w:val="22"/>
                <w:szCs w:val="22"/>
                <w:lang w:val="en-US" w:eastAsia="zh-CN"/>
              </w:rPr>
            </w:pPr>
            <w:r>
              <w:rPr>
                <w:rFonts w:eastAsiaTheme="minorEastAsia"/>
                <w:b/>
                <w:bCs/>
                <w:sz w:val="22"/>
                <w:szCs w:val="22"/>
                <w:lang w:val="en-US" w:eastAsia="zh-CN"/>
              </w:rPr>
              <w:t>Sharing</w:t>
            </w:r>
            <w:r>
              <w:rPr>
                <w:rFonts w:hint="eastAsia" w:eastAsiaTheme="minorEastAsia"/>
                <w:b/>
                <w:bCs/>
                <w:sz w:val="22"/>
                <w:szCs w:val="22"/>
                <w:lang w:val="en-US" w:eastAsia="zh-CN"/>
              </w:rPr>
              <w:t xml:space="preserve">, by </w:t>
            </w:r>
            <w:r>
              <w:rPr>
                <w:b/>
                <w:bCs/>
                <w:color w:val="auto"/>
                <w:sz w:val="22"/>
                <w:szCs w:val="22"/>
                <w:lang w:val="fr-FR"/>
              </w:rPr>
              <w:t>P</w:t>
            </w:r>
            <w:r>
              <w:rPr>
                <w:b/>
                <w:bCs/>
                <w:color w:val="auto"/>
                <w:sz w:val="22"/>
                <w:szCs w:val="22"/>
                <w:vertAlign w:val="subscript"/>
                <w:lang w:val="fr-FR"/>
              </w:rPr>
              <w:t>TRP</w:t>
            </w:r>
            <w:r>
              <w:rPr>
                <w:rFonts w:hint="eastAsia" w:eastAsiaTheme="minorEastAsia"/>
                <w:b/>
                <w:bCs/>
                <w:sz w:val="22"/>
                <w:szCs w:val="2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w:t>
            </w:r>
            <w:r>
              <w:rPr>
                <w:rFonts w:eastAsiaTheme="minorEastAsia"/>
                <w:b/>
                <w:bCs/>
                <w:sz w:val="22"/>
                <w:szCs w:val="22"/>
                <w:lang w:val="en-US" w:eastAsia="zh-CN"/>
              </w:rPr>
              <w:t>3</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L1-RSRP</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BFD/CBD</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F</w:t>
            </w:r>
            <w:r>
              <w:rPr>
                <w:rFonts w:eastAsiaTheme="minorEastAsia"/>
                <w:b/>
                <w:bCs/>
                <w:sz w:val="22"/>
                <w:szCs w:val="22"/>
                <w:lang w:val="en-US"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w:t>
            </w:r>
            <w:r>
              <w:rPr>
                <w:rFonts w:eastAsiaTheme="minorEastAsia"/>
                <w:b/>
                <w:bCs/>
                <w:sz w:val="22"/>
                <w:szCs w:val="22"/>
                <w:lang w:val="en-US" w:eastAsia="zh-CN"/>
              </w:rPr>
              <w:t>4</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BFD/CBD</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L1-RSRP</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Theme="minorEastAsia"/>
                <w:b/>
                <w:bCs/>
                <w:sz w:val="22"/>
                <w:szCs w:val="22"/>
                <w:lang w:val="en-US" w:eastAsia="zh-CN"/>
              </w:rPr>
            </w:pPr>
            <w:r>
              <w:rPr>
                <w:rFonts w:hint="eastAsia" w:eastAsiaTheme="minorEastAsia"/>
                <w:b/>
                <w:bCs/>
                <w:strike w:val="0"/>
                <w:dstrike w:val="0"/>
                <w:sz w:val="22"/>
                <w:szCs w:val="22"/>
                <w:lang w:val="en-US" w:eastAsia="zh-CN"/>
              </w:rPr>
              <w:t>Measurement restriction, specified in Section 9.13.5</w:t>
            </w:r>
            <w:r>
              <w:rPr>
                <w:rFonts w:hint="eastAsia" w:eastAsiaTheme="minorEastAsia"/>
                <w:b/>
                <w:bCs/>
                <w:color w:val="0000FF"/>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w:t>
            </w:r>
            <w:r>
              <w:rPr>
                <w:rFonts w:eastAsiaTheme="minorEastAsia"/>
                <w:b/>
                <w:bCs/>
                <w:sz w:val="22"/>
                <w:szCs w:val="22"/>
                <w:lang w:val="en-US" w:eastAsia="zh-CN"/>
              </w:rPr>
              <w:t>5</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RLM</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BFD/CBD</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F</w:t>
            </w:r>
            <w:r>
              <w:rPr>
                <w:rFonts w:eastAsiaTheme="minorEastAsia"/>
                <w:b/>
                <w:bCs/>
                <w:sz w:val="22"/>
                <w:szCs w:val="22"/>
                <w:lang w:val="en-US"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w:t>
            </w:r>
            <w:r>
              <w:rPr>
                <w:rFonts w:eastAsiaTheme="minorEastAsia"/>
                <w:b/>
                <w:bCs/>
                <w:sz w:val="22"/>
                <w:szCs w:val="22"/>
                <w:lang w:val="en-US" w:eastAsia="zh-CN"/>
              </w:rPr>
              <w:t>6</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RLM</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L1-RSRP</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Theme="minorEastAsia"/>
                <w:b/>
                <w:bCs/>
                <w:sz w:val="22"/>
                <w:szCs w:val="22"/>
                <w:lang w:val="en-US" w:eastAsia="zh-CN"/>
              </w:rPr>
            </w:pPr>
            <w:r>
              <w:rPr>
                <w:rFonts w:hint="eastAsia" w:eastAsiaTheme="minorEastAsia"/>
                <w:b/>
                <w:bCs/>
                <w:strike w:val="0"/>
                <w:dstrike w:val="0"/>
                <w:sz w:val="22"/>
                <w:szCs w:val="22"/>
                <w:lang w:val="en-US" w:eastAsia="zh-CN"/>
              </w:rPr>
              <w:t>Measurement restriction, specified in Section 9.13.5</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Regarding to the exact strategy for Case#3 and #5, we are fine to applying measurement restriction to identify the overlapping measurement.</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Regarding to the exact strategy for Case#3 and #5, we are fine to applying measurement restriction to identify the overlapping measurement.</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b/>
          <w:bCs/>
          <w:i w:val="0"/>
          <w:iCs w:val="0"/>
          <w:sz w:val="21"/>
          <w:szCs w:val="21"/>
          <w:u w:val="single"/>
          <w:lang w:val="en-US" w:eastAsia="zh-CN"/>
        </w:rPr>
      </w:pPr>
      <w:r>
        <w:rPr>
          <w:rFonts w:hint="eastAsia"/>
          <w:b/>
          <w:bCs/>
          <w:i w:val="0"/>
          <w:iCs w:val="0"/>
          <w:sz w:val="21"/>
          <w:szCs w:val="21"/>
          <w:u w:val="single"/>
          <w:lang w:val="en-US" w:eastAsia="zh-CN"/>
        </w:rPr>
        <w:t>Whether need clarification or update in RAN4 spec when SSB And PDCCH/PDSCH Are overlapped on the same RE</w:t>
      </w:r>
    </w:p>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This issue was discussed in last meeting, the following proposals were discussed but failed to achieve any conclusion.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120" w:line="240" w:lineRule="auto"/>
              <w:ind w:left="1020" w:leftChars="0"/>
            </w:pPr>
            <w:r>
              <w:rPr>
                <w:rFonts w:eastAsiaTheme="minorEastAsia"/>
                <w:lang w:val="en-US" w:eastAsia="zh-CN"/>
              </w:rPr>
              <w:t>Proposal 1:</w:t>
            </w:r>
          </w:p>
          <w:p>
            <w:pPr>
              <w:numPr>
                <w:ilvl w:val="1"/>
                <w:numId w:val="4"/>
              </w:numPr>
              <w:spacing w:after="120" w:line="240" w:lineRule="auto"/>
              <w:ind w:left="1656" w:leftChars="0" w:hanging="360" w:firstLineChars="0"/>
              <w:rPr>
                <w:lang w:eastAsia="en-GB"/>
              </w:rPr>
            </w:pPr>
            <w:r>
              <w:rPr>
                <w:lang w:eastAsia="en-GB"/>
              </w:rPr>
              <w:t>No further clarification or update is needed in RAN4 when SSB and PDCCH/PDSCH overlap on the same RE.</w:t>
            </w:r>
          </w:p>
          <w:p>
            <w:pPr>
              <w:numPr>
                <w:ilvl w:val="0"/>
                <w:numId w:val="4"/>
              </w:numPr>
              <w:spacing w:after="120" w:line="240" w:lineRule="auto"/>
              <w:ind w:left="1020" w:leftChars="0"/>
            </w:pPr>
            <w:r>
              <w:t>Proposal 2:</w:t>
            </w:r>
          </w:p>
          <w:p>
            <w:pPr>
              <w:numPr>
                <w:ilvl w:val="1"/>
                <w:numId w:val="4"/>
              </w:numPr>
              <w:spacing w:after="120" w:line="240" w:lineRule="auto"/>
              <w:ind w:left="1656" w:leftChars="0" w:hanging="360" w:firstLineChars="0"/>
              <w:rPr>
                <w:rFonts w:hint="default"/>
                <w:vertAlign w:val="baseline"/>
                <w:lang w:val="en-US" w:eastAsia="zh-CN"/>
              </w:rPr>
            </w:pPr>
            <w:r>
              <w:rPr>
                <w:lang w:eastAsia="en-GB"/>
              </w:rPr>
              <w:t xml:space="preserve">Introduce scheduling restriction for the cases when UE simultaneously receive SSB and PDSCH/PDCCH, while SSB is associated to a PCI different from the PCI to which the active TCI of PDSCH/PDCCH is associated. RRM requirements do not apply for these cases. </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default"/>
          <w:lang w:val="en-US" w:eastAsia="zh-CN"/>
        </w:rPr>
      </w:pPr>
      <w:r>
        <w:rPr>
          <w:rFonts w:hint="eastAsia"/>
          <w:lang w:val="en-US" w:eastAsia="zh-CN"/>
        </w:rPr>
        <w:t>In our view, RAN4 does not need to clarify such additional scheduling restriction since RAN1 has concluded this. In RAN1#110b-e the following agreement was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6"/>
              <w:shd w:val="clear" w:color="auto" w:fill="FFFFFF"/>
              <w:overflowPunct w:val="0"/>
              <w:autoSpaceDE w:val="0"/>
              <w:autoSpaceDN w:val="0"/>
              <w:adjustRightInd w:val="0"/>
              <w:spacing w:before="0" w:beforeAutospacing="0" w:after="0" w:afterAutospacing="0"/>
              <w:textAlignment w:val="baseline"/>
              <w:rPr>
                <w:rFonts w:ascii="Times" w:hAnsi="Times" w:eastAsia="Malgun Gothic"/>
                <w:b/>
                <w:color w:val="auto"/>
                <w:sz w:val="20"/>
                <w:szCs w:val="20"/>
                <w:lang w:eastAsia="ko-KR"/>
              </w:rPr>
            </w:pPr>
            <w:r>
              <w:rPr>
                <w:rFonts w:ascii="Times" w:hAnsi="Times"/>
                <w:b/>
                <w:color w:val="auto"/>
                <w:sz w:val="20"/>
                <w:szCs w:val="20"/>
                <w:highlight w:val="green"/>
              </w:rPr>
              <w:t>Agreement</w:t>
            </w:r>
          </w:p>
          <w:p>
            <w:pPr>
              <w:pStyle w:val="16"/>
              <w:shd w:val="clear" w:color="auto" w:fill="FFFFFF"/>
              <w:overflowPunct w:val="0"/>
              <w:autoSpaceDE w:val="0"/>
              <w:autoSpaceDN w:val="0"/>
              <w:adjustRightInd w:val="0"/>
              <w:spacing w:before="0" w:beforeAutospacing="0" w:after="0" w:afterAutospacing="0"/>
              <w:textAlignment w:val="baseline"/>
              <w:rPr>
                <w:rFonts w:ascii="Times" w:hAnsi="Times"/>
                <w:color w:val="auto"/>
                <w:sz w:val="20"/>
                <w:szCs w:val="20"/>
              </w:rPr>
            </w:pPr>
            <w:r>
              <w:rPr>
                <w:rFonts w:ascii="Times" w:hAnsi="Times"/>
                <w:color w:val="auto"/>
                <w:sz w:val="20"/>
                <w:szCs w:val="20"/>
              </w:rPr>
              <w:t>Confirm the following working assumption with the following modification</w:t>
            </w:r>
          </w:p>
          <w:p>
            <w:pPr>
              <w:pStyle w:val="16"/>
              <w:shd w:val="clear" w:color="auto" w:fill="FFFFFF"/>
              <w:overflowPunct w:val="0"/>
              <w:autoSpaceDE w:val="0"/>
              <w:autoSpaceDN w:val="0"/>
              <w:adjustRightInd w:val="0"/>
              <w:spacing w:before="0" w:beforeAutospacing="0" w:after="0" w:afterAutospacing="0"/>
              <w:textAlignment w:val="baseline"/>
              <w:rPr>
                <w:rFonts w:hint="default" w:ascii="Times" w:hAnsi="Times" w:eastAsia="宋体"/>
                <w:color w:val="auto"/>
                <w:sz w:val="20"/>
                <w:szCs w:val="20"/>
                <w:lang w:val="en-US" w:eastAsia="zh-CN"/>
              </w:rPr>
            </w:pPr>
            <w:r>
              <w:rPr>
                <w:rFonts w:ascii="Times" w:hAnsi="Times"/>
                <w:color w:val="auto"/>
                <w:sz w:val="20"/>
                <w:szCs w:val="20"/>
              </w:rPr>
              <w:t xml:space="preserve">On inter-cell beam management, the PDCCH /PDSCH should be rate matched around the SSBs indicated by ssb-PositionsInBurst-r17 for the same PCI as that associated with TCI state of the PDSCH /PDCCH </w:t>
            </w:r>
          </w:p>
          <w:p>
            <w:pPr>
              <w:pStyle w:val="16"/>
              <w:numPr>
                <w:ilvl w:val="0"/>
                <w:numId w:val="10"/>
              </w:numPr>
              <w:shd w:val="clear" w:color="auto" w:fill="FFFFFF"/>
              <w:overflowPunct w:val="0"/>
              <w:autoSpaceDE w:val="0"/>
              <w:autoSpaceDN w:val="0"/>
              <w:adjustRightInd w:val="0"/>
              <w:spacing w:before="0" w:beforeAutospacing="0" w:after="0" w:afterAutospacing="0"/>
              <w:textAlignment w:val="baseline"/>
              <w:rPr>
                <w:rFonts w:ascii="Times" w:hAnsi="Times"/>
                <w:color w:val="auto"/>
                <w:sz w:val="20"/>
                <w:szCs w:val="20"/>
              </w:rPr>
            </w:pPr>
            <w:r>
              <w:rPr>
                <w:rFonts w:ascii="Times" w:hAnsi="Times"/>
                <w:color w:val="auto"/>
                <w:sz w:val="20"/>
                <w:szCs w:val="20"/>
              </w:rPr>
              <w:t>Note 1: From RAN1 perspective, no PDSCH/PDCCH demodulation requirement or L1-RSRP measurement requirement is pursued for simultaneous reception of PDSCH /PDCCH and SSB for L1-RSRP measurement for the case that SSB and PDCCH /PDSCH overlap on the same RE.</w:t>
            </w:r>
          </w:p>
          <w:p>
            <w:pPr>
              <w:pStyle w:val="16"/>
              <w:numPr>
                <w:ilvl w:val="0"/>
                <w:numId w:val="10"/>
              </w:numPr>
              <w:shd w:val="clear" w:color="auto" w:fill="FFFFFF"/>
              <w:overflowPunct w:val="0"/>
              <w:autoSpaceDE w:val="0"/>
              <w:autoSpaceDN w:val="0"/>
              <w:adjustRightInd w:val="0"/>
              <w:spacing w:before="0" w:beforeAutospacing="0" w:after="0" w:afterAutospacing="0"/>
              <w:textAlignment w:val="baseline"/>
              <w:rPr>
                <w:rFonts w:ascii="Times" w:hAnsi="Times"/>
                <w:color w:val="FF0000"/>
                <w:sz w:val="20"/>
                <w:szCs w:val="20"/>
              </w:rPr>
            </w:pPr>
            <w:r>
              <w:rPr>
                <w:rFonts w:ascii="Times" w:hAnsi="Times"/>
                <w:color w:val="auto"/>
                <w:sz w:val="20"/>
                <w:szCs w:val="20"/>
              </w:rPr>
              <w:t>Note2: For Note 1, there is no RAN1 spec impact</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jc w:val="both"/>
        <w:textAlignment w:val="auto"/>
        <w:rPr>
          <w:rFonts w:hint="eastAsia"/>
          <w:lang w:val="en-US" w:eastAsia="zh-CN"/>
        </w:rPr>
      </w:pPr>
      <w:r>
        <w:rPr>
          <w:rFonts w:hint="eastAsia"/>
          <w:lang w:val="en-US" w:eastAsia="zh-CN"/>
        </w:rPr>
        <w:t>Based on RAN1</w:t>
      </w:r>
      <w:r>
        <w:rPr>
          <w:rFonts w:hint="default"/>
          <w:lang w:val="en-US" w:eastAsia="zh-CN"/>
        </w:rPr>
        <w:t>’</w:t>
      </w:r>
      <w:r>
        <w:rPr>
          <w:rFonts w:hint="eastAsia"/>
          <w:lang w:val="en-US" w:eastAsia="zh-CN"/>
        </w:rPr>
        <w:t>s conclusion, it can be concluded that the PDCCH/PDSCH should be rate matched around the L1 SSB within the same PCI. So we believe no need to clarify anything more in RAN4 specification.</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Based on RAN1 agreements, RAN1 has specified that the PDCCH/PDSCH should be rate matched around the L1 SSB within the same PCI. So no need to clarify anything more in RAN4 specification.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the remaining issues of R17 FeMIMO</w:t>
      </w:r>
      <w:r>
        <w:rPr>
          <w:rFonts w:eastAsia="宋体"/>
          <w:bCs/>
          <w:color w:val="auto"/>
          <w:sz w:val="21"/>
          <w:szCs w:val="21"/>
          <w:lang w:val="en-GB" w:eastAsia="zh-CN"/>
        </w:rPr>
        <w:t>:</w:t>
      </w:r>
    </w:p>
    <w:p>
      <w:pPr>
        <w:pStyle w:val="1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Under mTRP scenario, </w:t>
      </w:r>
      <w:r>
        <w:rPr>
          <w:rFonts w:hint="eastAsia" w:eastAsia="宋体" w:cs="Times New Roman"/>
          <w:b/>
          <w:bCs/>
          <w:color w:val="auto"/>
          <w:sz w:val="21"/>
          <w:szCs w:val="21"/>
          <w:highlight w:val="none"/>
          <w:lang w:val="en-US" w:eastAsia="zh-CN" w:bidi="ar-SA"/>
        </w:rPr>
        <w:t>i</w:t>
      </w:r>
      <w:r>
        <w:rPr>
          <w:rFonts w:hint="eastAsia" w:ascii="Times New Roman" w:hAnsi="Times New Roman" w:eastAsia="宋体" w:cs="Times New Roman"/>
          <w:b/>
          <w:bCs/>
          <w:color w:val="auto"/>
          <w:sz w:val="21"/>
          <w:szCs w:val="21"/>
          <w:highlight w:val="none"/>
          <w:lang w:val="en-US" w:eastAsia="zh-CN" w:bidi="ar-SA"/>
        </w:rPr>
        <w:t>f source RS in UL TCI state is not in the DL active TCI list</w:t>
      </w:r>
      <w:r>
        <w:rPr>
          <w:rFonts w:hint="eastAsia" w:eastAsia="宋体" w:cs="Times New Roman"/>
          <w:b/>
          <w:bCs/>
          <w:color w:val="auto"/>
          <w:sz w:val="21"/>
          <w:szCs w:val="21"/>
          <w:highlight w:val="none"/>
          <w:lang w:val="en-US" w:eastAsia="zh-CN" w:bidi="ar-SA"/>
        </w:rPr>
        <w:t>, the acquisition of time and frequency tracking should be addressed. Performing additional time/frequency tracking is necessary or we can check with RAN1.</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ascii="Times New Roman" w:hAnsi="Times New Roman"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to reuse the existing delay requirement of MAC CE based UL TCI state switch. However to move forward, a compromised solution is needed, e.g. allowing a clear but not too long additional latency.</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color w:val="auto"/>
          <w:sz w:val="21"/>
          <w:szCs w:val="21"/>
          <w:highlight w:val="none"/>
          <w:lang w:val="en-US" w:eastAsia="zh-CN" w:bidi="ar-SA"/>
        </w:rPr>
      </w:pPr>
      <w:r>
        <w:rPr>
          <w:rFonts w:hint="eastAsia" w:ascii="Times New Roman" w:hAnsi="Times New Roman" w:cs="Times New Roman"/>
          <w:b/>
          <w:bCs/>
          <w:color w:val="auto"/>
          <w:sz w:val="21"/>
          <w:szCs w:val="21"/>
          <w:highlight w:val="none"/>
          <w:lang w:val="en-US" w:eastAsia="zh-CN" w:bidi="ar-SA"/>
        </w:rPr>
        <w:t>Observation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ascii="Times New Roman" w:hAnsi="Times New Roman" w:cs="Times New Roman"/>
          <w:b/>
          <w:bCs/>
          <w:color w:val="auto"/>
          <w:sz w:val="21"/>
          <w:szCs w:val="21"/>
          <w:highlight w:val="none"/>
          <w:lang w:val="en-US" w:eastAsia="zh-CN" w:bidi="ar-SA"/>
        </w:rPr>
        <w:t>Regarding to the measurement restriction, based on all the supported L1 measurements between SC and CDP, only the following Case #3 and #5 should be identified. For other cases, the strategy has been provided in current specification.</w:t>
      </w:r>
    </w:p>
    <w:tbl>
      <w:tblPr>
        <w:tblStyle w:val="58"/>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2659"/>
        <w:gridCol w:w="2672"/>
        <w:gridCol w:w="2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jc w:val="center"/>
              <w:textAlignment w:val="baseline"/>
              <w:rPr>
                <w:rFonts w:eastAsiaTheme="minorEastAsia"/>
                <w:b/>
                <w:bCs/>
                <w:sz w:val="22"/>
                <w:szCs w:val="22"/>
                <w:lang w:val="en-US" w:eastAsia="zh-CN"/>
              </w:rPr>
            </w:pPr>
            <w:r>
              <w:rPr>
                <w:rFonts w:eastAsiaTheme="minorEastAsia"/>
                <w:b/>
                <w:bCs/>
                <w:sz w:val="22"/>
                <w:szCs w:val="22"/>
                <w:lang w:val="en-US" w:eastAsia="zh-CN"/>
              </w:rPr>
              <w:t>Case</w:t>
            </w:r>
          </w:p>
        </w:tc>
        <w:tc>
          <w:tcPr>
            <w:tcW w:w="2659"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jc w:val="center"/>
              <w:textAlignment w:val="baseline"/>
              <w:rPr>
                <w:rFonts w:eastAsia="Yu Mincho"/>
                <w:b/>
                <w:bCs/>
                <w:sz w:val="22"/>
                <w:szCs w:val="22"/>
                <w:lang w:val="en-US" w:eastAsia="en-GB"/>
              </w:rPr>
            </w:pPr>
            <w:r>
              <w:rPr>
                <w:rFonts w:hint="eastAsia" w:eastAsiaTheme="minorEastAsia"/>
                <w:b/>
                <w:bCs/>
                <w:sz w:val="22"/>
                <w:lang w:val="en-US" w:eastAsia="zh-CN"/>
              </w:rPr>
              <w:t>S</w:t>
            </w:r>
            <w:r>
              <w:rPr>
                <w:rFonts w:eastAsiaTheme="minorEastAsia"/>
                <w:b/>
                <w:bCs/>
                <w:sz w:val="22"/>
                <w:lang w:val="en-US" w:eastAsia="zh-CN"/>
              </w:rPr>
              <w:t>C SSB</w:t>
            </w:r>
          </w:p>
        </w:tc>
        <w:tc>
          <w:tcPr>
            <w:tcW w:w="267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jc w:val="center"/>
              <w:textAlignment w:val="baseline"/>
              <w:rPr>
                <w:rFonts w:eastAsia="Yu Mincho"/>
                <w:b/>
                <w:bCs/>
                <w:sz w:val="22"/>
                <w:szCs w:val="22"/>
                <w:lang w:val="en-US" w:eastAsia="en-GB"/>
              </w:rPr>
            </w:pPr>
            <w:r>
              <w:rPr>
                <w:rFonts w:eastAsiaTheme="minorEastAsia"/>
                <w:b/>
                <w:bCs/>
                <w:sz w:val="22"/>
                <w:lang w:val="en-US" w:eastAsia="zh-CN"/>
              </w:rPr>
              <w:t>CDP SSB</w:t>
            </w:r>
          </w:p>
        </w:tc>
        <w:tc>
          <w:tcPr>
            <w:tcW w:w="2962"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jc w:val="center"/>
              <w:textAlignment w:val="baseline"/>
              <w:rPr>
                <w:rFonts w:eastAsiaTheme="minorEastAsia"/>
                <w:b/>
                <w:bCs/>
                <w:sz w:val="22"/>
                <w:szCs w:val="22"/>
                <w:lang w:val="en-US" w:eastAsia="zh-CN"/>
              </w:rPr>
            </w:pPr>
            <w:r>
              <w:rPr>
                <w:rFonts w:eastAsiaTheme="minorEastAsia"/>
                <w:b/>
                <w:bCs/>
                <w:sz w:val="22"/>
                <w:szCs w:val="22"/>
                <w:lang w:val="en-US" w:eastAsia="zh-CN"/>
              </w:rPr>
              <w:t>Strategy for overlapping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Yu Mincho"/>
                <w:b/>
                <w:bCs/>
                <w:sz w:val="22"/>
                <w:szCs w:val="22"/>
                <w:lang w:val="en-US" w:eastAsia="en-GB"/>
              </w:rPr>
            </w:pPr>
            <w:r>
              <w:rPr>
                <w:rFonts w:eastAsia="Yu Mincho"/>
                <w:b/>
                <w:bCs/>
                <w:sz w:val="22"/>
                <w:szCs w:val="22"/>
                <w:lang w:val="en-US" w:eastAsia="en-GB"/>
              </w:rPr>
              <w:t>#1</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L1-RSRP</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Yu Mincho"/>
                <w:b/>
                <w:bCs/>
                <w:sz w:val="22"/>
                <w:szCs w:val="22"/>
                <w:lang w:val="en-US" w:eastAsia="en-GB"/>
              </w:rPr>
            </w:pPr>
            <w:r>
              <w:rPr>
                <w:rFonts w:eastAsiaTheme="minorEastAsia"/>
                <w:b/>
                <w:bCs/>
                <w:sz w:val="22"/>
                <w:szCs w:val="22"/>
                <w:lang w:val="en-US" w:eastAsia="zh-CN"/>
              </w:rPr>
              <w:t>Configured as L1-RSRP</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Theme="minorEastAsia"/>
                <w:b/>
                <w:bCs/>
                <w:sz w:val="22"/>
                <w:szCs w:val="22"/>
                <w:lang w:val="en-US" w:eastAsia="zh-CN"/>
              </w:rPr>
            </w:pPr>
            <w:r>
              <w:rPr>
                <w:rFonts w:eastAsiaTheme="minorEastAsia"/>
                <w:b/>
                <w:bCs/>
                <w:sz w:val="22"/>
                <w:szCs w:val="22"/>
                <w:lang w:val="en-US" w:eastAsia="zh-CN"/>
              </w:rPr>
              <w:t>Sharing</w:t>
            </w:r>
            <w:r>
              <w:rPr>
                <w:rFonts w:hint="eastAsia" w:eastAsiaTheme="minorEastAsia"/>
                <w:b/>
                <w:bCs/>
                <w:sz w:val="22"/>
                <w:szCs w:val="22"/>
                <w:lang w:val="en-US" w:eastAsia="zh-CN"/>
              </w:rPr>
              <w:t xml:space="preserve">, by </w:t>
            </w:r>
            <w:r>
              <w:rPr>
                <w:b/>
                <w:bCs/>
                <w:color w:val="auto"/>
                <w:sz w:val="22"/>
                <w:szCs w:val="22"/>
                <w:lang w:val="fr-FR"/>
              </w:rPr>
              <w:t>P</w:t>
            </w:r>
            <w:r>
              <w:rPr>
                <w:b/>
                <w:bCs/>
                <w:color w:val="auto"/>
                <w:sz w:val="22"/>
                <w:szCs w:val="22"/>
                <w:vertAlign w:val="subscript"/>
                <w:lang w:val="fr-FR"/>
              </w:rPr>
              <w:t>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w:t>
            </w:r>
            <w:r>
              <w:rPr>
                <w:rFonts w:eastAsiaTheme="minorEastAsia"/>
                <w:b/>
                <w:bCs/>
                <w:sz w:val="22"/>
                <w:szCs w:val="22"/>
                <w:lang w:val="en-US" w:eastAsia="zh-CN"/>
              </w:rPr>
              <w:t>2</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BFD/CBD</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BFD/CBD</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宋体"/>
                <w:b/>
                <w:bCs/>
                <w:sz w:val="22"/>
                <w:szCs w:val="22"/>
                <w:lang w:val="en-US" w:eastAsia="zh-CN"/>
              </w:rPr>
            </w:pPr>
            <w:r>
              <w:rPr>
                <w:rFonts w:eastAsiaTheme="minorEastAsia"/>
                <w:b/>
                <w:bCs/>
                <w:sz w:val="22"/>
                <w:szCs w:val="22"/>
                <w:lang w:val="en-US" w:eastAsia="zh-CN"/>
              </w:rPr>
              <w:t>Sharing</w:t>
            </w:r>
            <w:r>
              <w:rPr>
                <w:rFonts w:hint="eastAsia" w:eastAsiaTheme="minorEastAsia"/>
                <w:b/>
                <w:bCs/>
                <w:sz w:val="22"/>
                <w:szCs w:val="22"/>
                <w:lang w:val="en-US" w:eastAsia="zh-CN"/>
              </w:rPr>
              <w:t xml:space="preserve">, by </w:t>
            </w:r>
            <w:r>
              <w:rPr>
                <w:b/>
                <w:bCs/>
                <w:color w:val="auto"/>
                <w:sz w:val="22"/>
                <w:szCs w:val="22"/>
                <w:lang w:val="fr-FR"/>
              </w:rPr>
              <w:t>P</w:t>
            </w:r>
            <w:r>
              <w:rPr>
                <w:b/>
                <w:bCs/>
                <w:color w:val="auto"/>
                <w:sz w:val="22"/>
                <w:szCs w:val="22"/>
                <w:vertAlign w:val="subscript"/>
                <w:lang w:val="fr-FR"/>
              </w:rPr>
              <w:t>TRP</w:t>
            </w:r>
            <w:r>
              <w:rPr>
                <w:rFonts w:hint="eastAsia" w:eastAsiaTheme="minorEastAsia"/>
                <w:b/>
                <w:bCs/>
                <w:sz w:val="22"/>
                <w:szCs w:val="2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w:t>
            </w:r>
            <w:r>
              <w:rPr>
                <w:rFonts w:eastAsiaTheme="minorEastAsia"/>
                <w:b/>
                <w:bCs/>
                <w:sz w:val="22"/>
                <w:szCs w:val="22"/>
                <w:lang w:val="en-US" w:eastAsia="zh-CN"/>
              </w:rPr>
              <w:t>3</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L1-RSRP</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BFD/CBD</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F</w:t>
            </w:r>
            <w:r>
              <w:rPr>
                <w:rFonts w:eastAsiaTheme="minorEastAsia"/>
                <w:b/>
                <w:bCs/>
                <w:sz w:val="22"/>
                <w:szCs w:val="22"/>
                <w:lang w:val="en-US"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w:t>
            </w:r>
            <w:r>
              <w:rPr>
                <w:rFonts w:eastAsiaTheme="minorEastAsia"/>
                <w:b/>
                <w:bCs/>
                <w:sz w:val="22"/>
                <w:szCs w:val="22"/>
                <w:lang w:val="en-US" w:eastAsia="zh-CN"/>
              </w:rPr>
              <w:t>4</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BFD/CBD</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L1-RSRP</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Theme="minorEastAsia"/>
                <w:b/>
                <w:bCs/>
                <w:sz w:val="22"/>
                <w:szCs w:val="22"/>
                <w:lang w:val="en-US" w:eastAsia="zh-CN"/>
              </w:rPr>
            </w:pPr>
            <w:r>
              <w:rPr>
                <w:rFonts w:hint="eastAsia" w:eastAsiaTheme="minorEastAsia"/>
                <w:b/>
                <w:bCs/>
                <w:strike w:val="0"/>
                <w:dstrike w:val="0"/>
                <w:sz w:val="22"/>
                <w:szCs w:val="22"/>
                <w:lang w:val="en-US" w:eastAsia="zh-CN"/>
              </w:rPr>
              <w:t>Measurement restriction, specified in Section 9.13.5</w:t>
            </w:r>
            <w:r>
              <w:rPr>
                <w:rFonts w:hint="eastAsia" w:eastAsiaTheme="minorEastAsia"/>
                <w:b/>
                <w:bCs/>
                <w:color w:val="0000FF"/>
                <w:sz w:val="18"/>
                <w:szCs w:val="1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w:t>
            </w:r>
            <w:r>
              <w:rPr>
                <w:rFonts w:eastAsiaTheme="minorEastAsia"/>
                <w:b/>
                <w:bCs/>
                <w:sz w:val="22"/>
                <w:szCs w:val="22"/>
                <w:lang w:val="en-US" w:eastAsia="zh-CN"/>
              </w:rPr>
              <w:t>5</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RLM</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BFD/CBD</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F</w:t>
            </w:r>
            <w:r>
              <w:rPr>
                <w:rFonts w:eastAsiaTheme="minorEastAsia"/>
                <w:b/>
                <w:bCs/>
                <w:sz w:val="22"/>
                <w:szCs w:val="22"/>
                <w:lang w:val="en-US"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84"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hint="eastAsia" w:eastAsiaTheme="minorEastAsia"/>
                <w:b/>
                <w:bCs/>
                <w:sz w:val="22"/>
                <w:szCs w:val="22"/>
                <w:lang w:val="en-US" w:eastAsia="zh-CN"/>
              </w:rPr>
              <w:t>#</w:t>
            </w:r>
            <w:r>
              <w:rPr>
                <w:rFonts w:eastAsiaTheme="minorEastAsia"/>
                <w:b/>
                <w:bCs/>
                <w:sz w:val="22"/>
                <w:szCs w:val="22"/>
                <w:lang w:val="en-US" w:eastAsia="zh-CN"/>
              </w:rPr>
              <w:t>6</w:t>
            </w:r>
          </w:p>
        </w:tc>
        <w:tc>
          <w:tcPr>
            <w:tcW w:w="2659"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RLM</w:t>
            </w:r>
          </w:p>
        </w:tc>
        <w:tc>
          <w:tcPr>
            <w:tcW w:w="267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eastAsiaTheme="minorEastAsia"/>
                <w:b/>
                <w:bCs/>
                <w:sz w:val="22"/>
                <w:szCs w:val="22"/>
                <w:lang w:val="en-US" w:eastAsia="zh-CN"/>
              </w:rPr>
            </w:pPr>
            <w:r>
              <w:rPr>
                <w:rFonts w:eastAsiaTheme="minorEastAsia"/>
                <w:b/>
                <w:bCs/>
                <w:sz w:val="22"/>
                <w:szCs w:val="22"/>
                <w:lang w:val="en-US" w:eastAsia="zh-CN"/>
              </w:rPr>
              <w:t>Configured as L1-RSRP</w:t>
            </w:r>
          </w:p>
        </w:tc>
        <w:tc>
          <w:tcPr>
            <w:tcW w:w="2962"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120"/>
              <w:textAlignment w:val="baseline"/>
              <w:rPr>
                <w:rFonts w:hint="default" w:eastAsiaTheme="minorEastAsia"/>
                <w:b/>
                <w:bCs/>
                <w:sz w:val="22"/>
                <w:szCs w:val="22"/>
                <w:lang w:val="en-US" w:eastAsia="zh-CN"/>
              </w:rPr>
            </w:pPr>
            <w:r>
              <w:rPr>
                <w:rFonts w:hint="eastAsia" w:eastAsiaTheme="minorEastAsia"/>
                <w:b/>
                <w:bCs/>
                <w:strike w:val="0"/>
                <w:dstrike w:val="0"/>
                <w:sz w:val="22"/>
                <w:szCs w:val="22"/>
                <w:lang w:val="en-US" w:eastAsia="zh-CN"/>
              </w:rPr>
              <w:t>Measurement restriction, specified in Section 9.13.5</w:t>
            </w:r>
          </w:p>
        </w:tc>
      </w:tr>
    </w:tbl>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 3: Regarding to the exact strategy for Case#3 and #5, we are fine to applying measurement restriction to identify the overlapping measurement.</w:t>
      </w:r>
    </w:p>
    <w:p>
      <w:pPr>
        <w:pStyle w:val="1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 4: Based on RAN1 agreements, RAN1 has specified that the PDCCH/PDSCH should be rate matched around the L1 SSB within the same PCI. So no need to clarify anything more in RAN4 specification.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rPr>
          <w:rFonts w:hint="default" w:eastAsia="宋体"/>
          <w:color w:val="auto"/>
          <w:highlight w:val="none"/>
          <w:lang w:val="en-US" w:eastAsia="zh-CN"/>
        </w:rPr>
      </w:pPr>
      <w:r>
        <w:rPr>
          <w:rFonts w:hint="eastAsia"/>
          <w:color w:val="auto"/>
          <w:highlight w:val="none"/>
          <w:lang w:val="en-US" w:eastAsia="zh-CN"/>
        </w:rPr>
        <w:t xml:space="preserve">R4-2220713, </w:t>
      </w:r>
      <w:r>
        <w:rPr>
          <w:rFonts w:hint="default"/>
          <w:color w:val="auto"/>
          <w:highlight w:val="none"/>
          <w:lang w:val="en-US" w:eastAsia="zh-CN"/>
        </w:rPr>
        <w:t>“</w:t>
      </w:r>
      <w:r>
        <w:rPr>
          <w:rFonts w:hint="eastAsia"/>
          <w:color w:val="auto"/>
          <w:highlight w:val="none"/>
          <w:lang w:val="en-US" w:eastAsia="zh-CN"/>
        </w:rPr>
        <w:t>WF on Rel-17 FeMIMO RRM core requirement maintenance</w:t>
      </w:r>
      <w:r>
        <w:rPr>
          <w:rFonts w:hint="default"/>
          <w:color w:val="auto"/>
          <w:highlight w:val="none"/>
          <w:lang w:val="en-US" w:eastAsia="zh-CN"/>
        </w:rPr>
        <w:t>”</w:t>
      </w:r>
      <w:r>
        <w:rPr>
          <w:rFonts w:hint="eastAsia"/>
          <w:color w:val="auto"/>
          <w:highlight w:val="none"/>
          <w:lang w:val="en-US" w:eastAsia="zh-CN"/>
        </w:rPr>
        <w:t xml:space="preserve">, Intel.   </w:t>
      </w:r>
    </w:p>
    <w:p>
      <w:pPr>
        <w:pStyle w:val="6"/>
        <w:numPr>
          <w:ilvl w:val="0"/>
          <w:numId w:val="0"/>
        </w:numPr>
        <w:ind w:leftChars="0"/>
        <w:rPr>
          <w:rFonts w:hint="default" w:eastAsia="宋体"/>
          <w:color w:val="auto"/>
          <w:highlight w:val="none"/>
          <w:lang w:val="en-US" w:eastAsia="zh-CN"/>
        </w:rPr>
      </w:pPr>
    </w:p>
    <w:p>
      <w:pPr>
        <w:pStyle w:val="6"/>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PMincho"/>
    <w:panose1 w:val="02020400000000000000"/>
    <w:charset w:val="80"/>
    <w:family w:val="roman"/>
    <w:pitch w:val="default"/>
    <w:sig w:usb0="00000000" w:usb1="00000000" w:usb2="00000012" w:usb3="00000000" w:csb0="0002009F" w:csb1="00000000"/>
  </w:font>
  <w:font w:name="Malgun Gothic">
    <w:panose1 w:val="020B0503020000020004"/>
    <w:charset w:val="81"/>
    <w:family w:val="modern"/>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F074B"/>
    <w:multiLevelType w:val="singleLevel"/>
    <w:tmpl w:val="807F074B"/>
    <w:lvl w:ilvl="0" w:tentative="0">
      <w:start w:val="1"/>
      <w:numFmt w:val="bullet"/>
      <w:lvlText w:val=""/>
      <w:lvlJc w:val="left"/>
      <w:pPr>
        <w:tabs>
          <w:tab w:val="left" w:pos="420"/>
        </w:tabs>
        <w:ind w:left="84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3F825710"/>
    <w:multiLevelType w:val="singleLevel"/>
    <w:tmpl w:val="3F825710"/>
    <w:lvl w:ilvl="0" w:tentative="0">
      <w:start w:val="1"/>
      <w:numFmt w:val="bullet"/>
      <w:lvlText w:val=""/>
      <w:lvlJc w:val="left"/>
      <w:pPr>
        <w:tabs>
          <w:tab w:val="left" w:pos="420"/>
        </w:tabs>
        <w:ind w:left="840" w:hanging="420"/>
      </w:pPr>
      <w:rPr>
        <w:rFonts w:hint="default" w:ascii="Wingdings" w:hAnsi="Wingdings"/>
      </w:r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C130F2"/>
    <w:multiLevelType w:val="multilevel"/>
    <w:tmpl w:val="4DC130F2"/>
    <w:lvl w:ilvl="0" w:tentative="0">
      <w:start w:val="0"/>
      <w:numFmt w:val="bullet"/>
      <w:lvlText w:val="-"/>
      <w:lvlJc w:val="left"/>
      <w:pPr>
        <w:ind w:left="2790" w:hanging="360"/>
      </w:pPr>
      <w:rPr>
        <w:rFonts w:hint="default" w:ascii="Arial" w:hAnsi="Arial" w:eastAsia="Times New Roman" w:cs="Arial"/>
      </w:rPr>
    </w:lvl>
    <w:lvl w:ilvl="1" w:tentative="0">
      <w:start w:val="1"/>
      <w:numFmt w:val="bullet"/>
      <w:lvlText w:val="o"/>
      <w:lvlJc w:val="left"/>
      <w:pPr>
        <w:ind w:left="3510" w:hanging="360"/>
      </w:pPr>
      <w:rPr>
        <w:rFonts w:hint="default" w:ascii="Courier New" w:hAnsi="Courier New" w:cs="Courier New"/>
      </w:rPr>
    </w:lvl>
    <w:lvl w:ilvl="2" w:tentative="0">
      <w:start w:val="1"/>
      <w:numFmt w:val="bullet"/>
      <w:lvlText w:val=""/>
      <w:lvlJc w:val="left"/>
      <w:pPr>
        <w:ind w:left="4230" w:hanging="360"/>
      </w:pPr>
      <w:rPr>
        <w:rFonts w:hint="default" w:ascii="Wingdings" w:hAnsi="Wingdings"/>
      </w:rPr>
    </w:lvl>
    <w:lvl w:ilvl="3" w:tentative="0">
      <w:start w:val="1"/>
      <w:numFmt w:val="bullet"/>
      <w:lvlText w:val=""/>
      <w:lvlJc w:val="left"/>
      <w:pPr>
        <w:ind w:left="4950" w:hanging="360"/>
      </w:pPr>
      <w:rPr>
        <w:rFonts w:hint="default" w:ascii="Symbol" w:hAnsi="Symbol"/>
      </w:rPr>
    </w:lvl>
    <w:lvl w:ilvl="4" w:tentative="0">
      <w:start w:val="1"/>
      <w:numFmt w:val="bullet"/>
      <w:lvlText w:val="o"/>
      <w:lvlJc w:val="left"/>
      <w:pPr>
        <w:ind w:left="5670" w:hanging="360"/>
      </w:pPr>
      <w:rPr>
        <w:rFonts w:hint="default" w:ascii="Courier New" w:hAnsi="Courier New" w:cs="Courier New"/>
      </w:rPr>
    </w:lvl>
    <w:lvl w:ilvl="5" w:tentative="0">
      <w:start w:val="1"/>
      <w:numFmt w:val="bullet"/>
      <w:lvlText w:val=""/>
      <w:lvlJc w:val="left"/>
      <w:pPr>
        <w:ind w:left="6390" w:hanging="360"/>
      </w:pPr>
      <w:rPr>
        <w:rFonts w:hint="default" w:ascii="Wingdings" w:hAnsi="Wingdings"/>
      </w:rPr>
    </w:lvl>
    <w:lvl w:ilvl="6" w:tentative="0">
      <w:start w:val="1"/>
      <w:numFmt w:val="bullet"/>
      <w:lvlText w:val=""/>
      <w:lvlJc w:val="left"/>
      <w:pPr>
        <w:ind w:left="7110" w:hanging="360"/>
      </w:pPr>
      <w:rPr>
        <w:rFonts w:hint="default" w:ascii="Symbol" w:hAnsi="Symbol"/>
      </w:rPr>
    </w:lvl>
    <w:lvl w:ilvl="7" w:tentative="0">
      <w:start w:val="1"/>
      <w:numFmt w:val="bullet"/>
      <w:lvlText w:val="o"/>
      <w:lvlJc w:val="left"/>
      <w:pPr>
        <w:ind w:left="7830" w:hanging="360"/>
      </w:pPr>
      <w:rPr>
        <w:rFonts w:hint="default" w:ascii="Courier New" w:hAnsi="Courier New" w:cs="Courier New"/>
      </w:rPr>
    </w:lvl>
    <w:lvl w:ilvl="8" w:tentative="0">
      <w:start w:val="1"/>
      <w:numFmt w:val="bullet"/>
      <w:lvlText w:val=""/>
      <w:lvlJc w:val="left"/>
      <w:pPr>
        <w:ind w:left="855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0142FC2"/>
    <w:multiLevelType w:val="multilevel"/>
    <w:tmpl w:val="60142FC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3150"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18C7316"/>
    <w:multiLevelType w:val="multilevel"/>
    <w:tmpl w:val="618C73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4"/>
  </w:num>
  <w:num w:numId="3">
    <w:abstractNumId w:val="1"/>
  </w:num>
  <w:num w:numId="4">
    <w:abstractNumId w:val="6"/>
  </w:num>
  <w:num w:numId="5">
    <w:abstractNumId w:val="2"/>
  </w:num>
  <w:num w:numId="6">
    <w:abstractNumId w:val="0"/>
  </w:num>
  <w:num w:numId="7">
    <w:abstractNumId w:val="3"/>
  </w:num>
  <w:num w:numId="8">
    <w:abstractNumId w:val="7"/>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5549"/>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3E4226B"/>
    <w:rsid w:val="04291300"/>
    <w:rsid w:val="04A04DCC"/>
    <w:rsid w:val="04F447C1"/>
    <w:rsid w:val="05123449"/>
    <w:rsid w:val="058C33EF"/>
    <w:rsid w:val="05C42923"/>
    <w:rsid w:val="05E724AA"/>
    <w:rsid w:val="07CD3CDD"/>
    <w:rsid w:val="0855671D"/>
    <w:rsid w:val="09716BCA"/>
    <w:rsid w:val="09AD4F9D"/>
    <w:rsid w:val="09E644B8"/>
    <w:rsid w:val="0A487ABE"/>
    <w:rsid w:val="0AA430B2"/>
    <w:rsid w:val="0AC55A90"/>
    <w:rsid w:val="0B9B74B2"/>
    <w:rsid w:val="0BB0429A"/>
    <w:rsid w:val="0BD65987"/>
    <w:rsid w:val="0C563DEC"/>
    <w:rsid w:val="0CB97ACD"/>
    <w:rsid w:val="0DBB01ED"/>
    <w:rsid w:val="0E8A2AC7"/>
    <w:rsid w:val="0EC815B9"/>
    <w:rsid w:val="0F446A2E"/>
    <w:rsid w:val="0F5F76E0"/>
    <w:rsid w:val="0F644A12"/>
    <w:rsid w:val="0F7F19AF"/>
    <w:rsid w:val="103945B2"/>
    <w:rsid w:val="10674402"/>
    <w:rsid w:val="10E40715"/>
    <w:rsid w:val="11874411"/>
    <w:rsid w:val="128B4D66"/>
    <w:rsid w:val="13850208"/>
    <w:rsid w:val="1419083F"/>
    <w:rsid w:val="142334E3"/>
    <w:rsid w:val="14773990"/>
    <w:rsid w:val="1481754F"/>
    <w:rsid w:val="148A67E1"/>
    <w:rsid w:val="148F5721"/>
    <w:rsid w:val="14AC57CD"/>
    <w:rsid w:val="14E75423"/>
    <w:rsid w:val="15D32C69"/>
    <w:rsid w:val="15FC23B3"/>
    <w:rsid w:val="1620398C"/>
    <w:rsid w:val="164514BE"/>
    <w:rsid w:val="16453D79"/>
    <w:rsid w:val="170F06AA"/>
    <w:rsid w:val="173B3D2D"/>
    <w:rsid w:val="17873B5D"/>
    <w:rsid w:val="17EF48AA"/>
    <w:rsid w:val="180A6E32"/>
    <w:rsid w:val="183F2CD2"/>
    <w:rsid w:val="18CD0507"/>
    <w:rsid w:val="1AD01A1B"/>
    <w:rsid w:val="1B7B4E35"/>
    <w:rsid w:val="1B8E6B66"/>
    <w:rsid w:val="1C177B08"/>
    <w:rsid w:val="1C4E28F6"/>
    <w:rsid w:val="1C9001C6"/>
    <w:rsid w:val="1CBA2101"/>
    <w:rsid w:val="1CD048D5"/>
    <w:rsid w:val="1D0573D7"/>
    <w:rsid w:val="1D0B674C"/>
    <w:rsid w:val="1D153DC4"/>
    <w:rsid w:val="1D223E0B"/>
    <w:rsid w:val="1D2B14A2"/>
    <w:rsid w:val="1D61034A"/>
    <w:rsid w:val="1D8E4D59"/>
    <w:rsid w:val="1E1C19EB"/>
    <w:rsid w:val="1E853F6F"/>
    <w:rsid w:val="1EB32AA2"/>
    <w:rsid w:val="1ECC1E3C"/>
    <w:rsid w:val="1F052B15"/>
    <w:rsid w:val="1FDA0E82"/>
    <w:rsid w:val="20371001"/>
    <w:rsid w:val="207B4602"/>
    <w:rsid w:val="21244EB1"/>
    <w:rsid w:val="21391C75"/>
    <w:rsid w:val="21720B64"/>
    <w:rsid w:val="21C05D5F"/>
    <w:rsid w:val="21F13629"/>
    <w:rsid w:val="2226733B"/>
    <w:rsid w:val="225A52C0"/>
    <w:rsid w:val="24122135"/>
    <w:rsid w:val="245D5C14"/>
    <w:rsid w:val="258F4033"/>
    <w:rsid w:val="25932BF9"/>
    <w:rsid w:val="265B50B5"/>
    <w:rsid w:val="26967449"/>
    <w:rsid w:val="26AE2CCC"/>
    <w:rsid w:val="26BB1419"/>
    <w:rsid w:val="26CB1031"/>
    <w:rsid w:val="27893AB2"/>
    <w:rsid w:val="281C12F4"/>
    <w:rsid w:val="29553F3A"/>
    <w:rsid w:val="299514B8"/>
    <w:rsid w:val="29A05E8C"/>
    <w:rsid w:val="2A3916E1"/>
    <w:rsid w:val="2A7E505C"/>
    <w:rsid w:val="2A9B2B82"/>
    <w:rsid w:val="2B471816"/>
    <w:rsid w:val="2B851E8F"/>
    <w:rsid w:val="2B954C89"/>
    <w:rsid w:val="2BA1692B"/>
    <w:rsid w:val="2BC05B2C"/>
    <w:rsid w:val="2BD617C5"/>
    <w:rsid w:val="2C112837"/>
    <w:rsid w:val="2CC146D3"/>
    <w:rsid w:val="2D036269"/>
    <w:rsid w:val="2E8D0F89"/>
    <w:rsid w:val="2EF477D1"/>
    <w:rsid w:val="2F2F0FC8"/>
    <w:rsid w:val="301C6BB6"/>
    <w:rsid w:val="30481D4B"/>
    <w:rsid w:val="31437A9E"/>
    <w:rsid w:val="31B14C9E"/>
    <w:rsid w:val="32EF2287"/>
    <w:rsid w:val="34331E65"/>
    <w:rsid w:val="34471EEA"/>
    <w:rsid w:val="34F11107"/>
    <w:rsid w:val="34F80A7B"/>
    <w:rsid w:val="35B06C6A"/>
    <w:rsid w:val="36D37423"/>
    <w:rsid w:val="37F14E37"/>
    <w:rsid w:val="38726558"/>
    <w:rsid w:val="3A185287"/>
    <w:rsid w:val="3A692CD0"/>
    <w:rsid w:val="3B3B2DF3"/>
    <w:rsid w:val="3B673620"/>
    <w:rsid w:val="3B9A1F29"/>
    <w:rsid w:val="3C6D5868"/>
    <w:rsid w:val="3CE4646B"/>
    <w:rsid w:val="3D5E7AA8"/>
    <w:rsid w:val="3D6F2596"/>
    <w:rsid w:val="3DE90736"/>
    <w:rsid w:val="3E7D08ED"/>
    <w:rsid w:val="3EB83B19"/>
    <w:rsid w:val="401B3A6B"/>
    <w:rsid w:val="405F175E"/>
    <w:rsid w:val="40C765F3"/>
    <w:rsid w:val="41434B15"/>
    <w:rsid w:val="42420E47"/>
    <w:rsid w:val="42F869D2"/>
    <w:rsid w:val="4300258F"/>
    <w:rsid w:val="43553536"/>
    <w:rsid w:val="43F83B1E"/>
    <w:rsid w:val="441D5188"/>
    <w:rsid w:val="44F46037"/>
    <w:rsid w:val="451632B9"/>
    <w:rsid w:val="453954E9"/>
    <w:rsid w:val="456C100D"/>
    <w:rsid w:val="45F60A50"/>
    <w:rsid w:val="46B036BF"/>
    <w:rsid w:val="47282363"/>
    <w:rsid w:val="49124BB5"/>
    <w:rsid w:val="49E55BC5"/>
    <w:rsid w:val="4A796308"/>
    <w:rsid w:val="4B2470BA"/>
    <w:rsid w:val="4B30128C"/>
    <w:rsid w:val="4C1C63D6"/>
    <w:rsid w:val="4C2528EF"/>
    <w:rsid w:val="4C864A35"/>
    <w:rsid w:val="4D321410"/>
    <w:rsid w:val="4D8C1A89"/>
    <w:rsid w:val="4DBF2DA1"/>
    <w:rsid w:val="4E015C76"/>
    <w:rsid w:val="4E4A2325"/>
    <w:rsid w:val="501A6C55"/>
    <w:rsid w:val="50D52227"/>
    <w:rsid w:val="50E3745A"/>
    <w:rsid w:val="51277D2C"/>
    <w:rsid w:val="519A6ACC"/>
    <w:rsid w:val="51B14BED"/>
    <w:rsid w:val="52280006"/>
    <w:rsid w:val="525C1CEF"/>
    <w:rsid w:val="52830646"/>
    <w:rsid w:val="52960673"/>
    <w:rsid w:val="52EC72B6"/>
    <w:rsid w:val="52F41789"/>
    <w:rsid w:val="53C64B93"/>
    <w:rsid w:val="53F07453"/>
    <w:rsid w:val="55B1164D"/>
    <w:rsid w:val="55B4735E"/>
    <w:rsid w:val="56371459"/>
    <w:rsid w:val="56875C1B"/>
    <w:rsid w:val="58A10C72"/>
    <w:rsid w:val="58CD139E"/>
    <w:rsid w:val="59DA647E"/>
    <w:rsid w:val="5A556E1A"/>
    <w:rsid w:val="5B550FCA"/>
    <w:rsid w:val="5B8B68DC"/>
    <w:rsid w:val="5BB306CC"/>
    <w:rsid w:val="5CED039D"/>
    <w:rsid w:val="5D8941DA"/>
    <w:rsid w:val="5D982E42"/>
    <w:rsid w:val="5E8E2521"/>
    <w:rsid w:val="5EB44FC0"/>
    <w:rsid w:val="5F5029C1"/>
    <w:rsid w:val="5F931A96"/>
    <w:rsid w:val="5FBA395F"/>
    <w:rsid w:val="5FDA2C68"/>
    <w:rsid w:val="603C501F"/>
    <w:rsid w:val="62B047E1"/>
    <w:rsid w:val="635902CD"/>
    <w:rsid w:val="64706BBE"/>
    <w:rsid w:val="648E511B"/>
    <w:rsid w:val="64F2095B"/>
    <w:rsid w:val="6533321C"/>
    <w:rsid w:val="663D5CCF"/>
    <w:rsid w:val="66770492"/>
    <w:rsid w:val="67052A96"/>
    <w:rsid w:val="671A4BC2"/>
    <w:rsid w:val="673413FA"/>
    <w:rsid w:val="676368B9"/>
    <w:rsid w:val="67A858DB"/>
    <w:rsid w:val="67F23A58"/>
    <w:rsid w:val="691B180A"/>
    <w:rsid w:val="691F2D87"/>
    <w:rsid w:val="691F3105"/>
    <w:rsid w:val="697B28F2"/>
    <w:rsid w:val="69A833BD"/>
    <w:rsid w:val="6A5B13F3"/>
    <w:rsid w:val="6B27098F"/>
    <w:rsid w:val="6BD63FDC"/>
    <w:rsid w:val="6DAB717C"/>
    <w:rsid w:val="6DDE3DAF"/>
    <w:rsid w:val="6DE05144"/>
    <w:rsid w:val="6F160B9A"/>
    <w:rsid w:val="6FE94925"/>
    <w:rsid w:val="70540BC6"/>
    <w:rsid w:val="707C055E"/>
    <w:rsid w:val="70814FA6"/>
    <w:rsid w:val="715F4C2D"/>
    <w:rsid w:val="71844714"/>
    <w:rsid w:val="72BF60CA"/>
    <w:rsid w:val="7522275B"/>
    <w:rsid w:val="752872FE"/>
    <w:rsid w:val="753811DE"/>
    <w:rsid w:val="75A17C8F"/>
    <w:rsid w:val="75BE67D4"/>
    <w:rsid w:val="75C759C1"/>
    <w:rsid w:val="762D64F3"/>
    <w:rsid w:val="775B4604"/>
    <w:rsid w:val="77C067C3"/>
    <w:rsid w:val="77C6011D"/>
    <w:rsid w:val="77CA63ED"/>
    <w:rsid w:val="78141A2A"/>
    <w:rsid w:val="78911E31"/>
    <w:rsid w:val="78D006C0"/>
    <w:rsid w:val="7A076CB0"/>
    <w:rsid w:val="7A9367CB"/>
    <w:rsid w:val="7AEC3E2E"/>
    <w:rsid w:val="7AF22571"/>
    <w:rsid w:val="7BD71373"/>
    <w:rsid w:val="7C1C35A7"/>
    <w:rsid w:val="7C45431D"/>
    <w:rsid w:val="7C5B0E57"/>
    <w:rsid w:val="7C855657"/>
    <w:rsid w:val="7CE6742C"/>
    <w:rsid w:val="7D684E4F"/>
    <w:rsid w:val="7DDD0501"/>
    <w:rsid w:val="7DE541D2"/>
    <w:rsid w:val="7E3C78E6"/>
    <w:rsid w:val="7E6C2D77"/>
    <w:rsid w:val="7E90378F"/>
    <w:rsid w:val="7E935AFB"/>
    <w:rsid w:val="7F2619A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0"/>
    <w:semiHidden/>
    <w:unhideWhenUsed/>
    <w:qFormat/>
    <w:uiPriority w:val="99"/>
    <w:rPr>
      <w:rFonts w:ascii="宋体" w:eastAsia="宋体"/>
      <w:sz w:val="18"/>
      <w:szCs w:val="18"/>
    </w:rPr>
  </w:style>
  <w:style w:type="paragraph" w:styleId="10">
    <w:name w:val="annotation text"/>
    <w:basedOn w:val="1"/>
    <w:semiHidden/>
    <w:unhideWhenUsed/>
    <w:qFormat/>
    <w:uiPriority w:val="99"/>
    <w:pPr>
      <w:jc w:val="left"/>
    </w:pPr>
  </w:style>
  <w:style w:type="paragraph" w:styleId="11">
    <w:name w:val="Body Text"/>
    <w:basedOn w:val="1"/>
    <w:link w:val="24"/>
    <w:qFormat/>
    <w:uiPriority w:val="0"/>
    <w:pPr>
      <w:spacing w:after="120"/>
      <w:jc w:val="both"/>
    </w:pPr>
    <w:rPr>
      <w:rFonts w:eastAsia="MS Mincho"/>
      <w:lang w:val="zh-CN"/>
    </w:r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9"/>
    <w:semiHidden/>
    <w:qFormat/>
    <w:uiPriority w:val="99"/>
    <w:rPr>
      <w:rFonts w:ascii="宋体" w:hAnsi="Times New Roman"/>
      <w:sz w:val="18"/>
      <w:szCs w:val="18"/>
      <w:lang w:eastAsia="en-US"/>
    </w:rPr>
  </w:style>
  <w:style w:type="paragraph" w:customStyle="1" w:styleId="31">
    <w:name w:val="B1"/>
    <w:basedOn w:val="7"/>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8"/>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paragraph"/>
    <w:basedOn w:val="1"/>
    <w:qFormat/>
    <w:uiPriority w:val="0"/>
    <w:pPr>
      <w:spacing w:before="100" w:beforeAutospacing="1" w:after="100" w:afterAutospacing="1"/>
    </w:pPr>
    <w:rPr>
      <w:rFonts w:eastAsia="Times New Roman"/>
      <w:sz w:val="24"/>
      <w:szCs w:val="24"/>
    </w:rPr>
  </w:style>
  <w:style w:type="character" w:customStyle="1" w:styleId="54">
    <w:name w:val="normaltextrun"/>
    <w:basedOn w:val="19"/>
    <w:qFormat/>
    <w:uiPriority w:val="0"/>
  </w:style>
  <w:style w:type="paragraph" w:customStyle="1" w:styleId="55">
    <w:name w:val="B2"/>
    <w:basedOn w:val="6"/>
    <w:qFormat/>
    <w:uiPriority w:val="0"/>
  </w:style>
  <w:style w:type="paragraph" w:customStyle="1" w:styleId="56">
    <w:name w:val="B3"/>
    <w:basedOn w:val="5"/>
    <w:qFormat/>
    <w:uiPriority w:val="0"/>
  </w:style>
  <w:style w:type="paragraph" w:customStyle="1" w:styleId="57">
    <w:name w:val="TAN"/>
    <w:basedOn w:val="36"/>
    <w:qFormat/>
    <w:uiPriority w:val="0"/>
    <w:pPr>
      <w:ind w:left="851" w:hanging="851"/>
    </w:pPr>
  </w:style>
  <w:style w:type="table" w:customStyle="1" w:styleId="58">
    <w:name w:val="TableGrid1"/>
    <w:basedOn w:val="17"/>
    <w:qFormat/>
    <w:uiPriority w:val="39"/>
    <w:pPr>
      <w:overflowPunct w:val="0"/>
      <w:autoSpaceDE w:val="0"/>
      <w:autoSpaceDN w:val="0"/>
      <w:adjustRightInd w:val="0"/>
      <w:spacing w:after="180"/>
      <w:textAlignment w:val="baseline"/>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2023-02-17T13:10:57Z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